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EB02" w14:textId="77777777" w:rsidR="00964BAB" w:rsidRPr="00491BA6" w:rsidRDefault="00964BAB" w:rsidP="00964BAB">
      <w:pPr>
        <w:rPr>
          <w:rFonts w:ascii="Garamond" w:hAnsi="Garamond"/>
          <w:b/>
          <w:sz w:val="24"/>
          <w:szCs w:val="24"/>
        </w:rPr>
      </w:pPr>
      <w:r w:rsidRPr="00491BA6">
        <w:rPr>
          <w:rFonts w:ascii="Garamond" w:hAnsi="Garamond"/>
          <w:b/>
          <w:sz w:val="24"/>
          <w:szCs w:val="24"/>
        </w:rPr>
        <w:t>Public Pension Management and Asset Investment Review Commission</w:t>
      </w:r>
      <w:r>
        <w:rPr>
          <w:rFonts w:ascii="Garamond" w:hAnsi="Garamond"/>
          <w:b/>
          <w:sz w:val="24"/>
          <w:szCs w:val="24"/>
        </w:rPr>
        <w:t xml:space="preserve"> (PPMAIRC)</w:t>
      </w:r>
    </w:p>
    <w:p w14:paraId="37A19647" w14:textId="77777777" w:rsidR="00F57301" w:rsidRDefault="00F57301">
      <w:pPr>
        <w:jc w:val="center"/>
        <w:rPr>
          <w:rFonts w:ascii="Garamond" w:hAnsi="Garamond"/>
          <w:b/>
          <w:sz w:val="24"/>
          <w:szCs w:val="24"/>
        </w:rPr>
      </w:pPr>
    </w:p>
    <w:p w14:paraId="4D0EE0A8" w14:textId="77777777" w:rsidR="00964BAB" w:rsidRDefault="00964BAB" w:rsidP="00964BAB">
      <w:pPr>
        <w:rPr>
          <w:rFonts w:ascii="Garamond" w:hAnsi="Garamond"/>
          <w:b/>
          <w:sz w:val="24"/>
          <w:szCs w:val="24"/>
        </w:rPr>
      </w:pPr>
      <w:r>
        <w:rPr>
          <w:rFonts w:ascii="Garamond" w:hAnsi="Garamond"/>
          <w:b/>
          <w:sz w:val="24"/>
          <w:szCs w:val="24"/>
        </w:rPr>
        <w:t>Data Request: SERS-004</w:t>
      </w:r>
    </w:p>
    <w:p w14:paraId="4ECD7615" w14:textId="3FE04B0E" w:rsidR="00964BAB" w:rsidRDefault="00964BAB" w:rsidP="00964BAB">
      <w:pPr>
        <w:rPr>
          <w:rFonts w:ascii="Garamond" w:hAnsi="Garamond"/>
          <w:b/>
          <w:sz w:val="24"/>
          <w:szCs w:val="24"/>
        </w:rPr>
      </w:pPr>
      <w:r>
        <w:rPr>
          <w:rFonts w:ascii="Garamond" w:hAnsi="Garamond"/>
          <w:b/>
          <w:sz w:val="24"/>
          <w:szCs w:val="24"/>
        </w:rPr>
        <w:t>Date submitted: Ju</w:t>
      </w:r>
      <w:r w:rsidR="00110365">
        <w:rPr>
          <w:rFonts w:ascii="Garamond" w:hAnsi="Garamond"/>
          <w:b/>
          <w:sz w:val="24"/>
          <w:szCs w:val="24"/>
        </w:rPr>
        <w:t>ly 12</w:t>
      </w:r>
      <w:r>
        <w:rPr>
          <w:rFonts w:ascii="Garamond" w:hAnsi="Garamond"/>
          <w:b/>
          <w:sz w:val="24"/>
          <w:szCs w:val="24"/>
        </w:rPr>
        <w:t>, 2018</w:t>
      </w:r>
    </w:p>
    <w:p w14:paraId="3B37D06E" w14:textId="77777777" w:rsidR="00964BAB" w:rsidRDefault="00964BAB" w:rsidP="00964BAB">
      <w:pPr>
        <w:rPr>
          <w:rFonts w:ascii="Garamond" w:hAnsi="Garamond"/>
          <w:b/>
          <w:sz w:val="24"/>
          <w:szCs w:val="24"/>
        </w:rPr>
      </w:pPr>
      <w:r>
        <w:rPr>
          <w:rFonts w:ascii="Garamond" w:hAnsi="Garamond"/>
          <w:b/>
          <w:sz w:val="24"/>
          <w:szCs w:val="24"/>
        </w:rPr>
        <w:t>Date for response: July 2, 2018</w:t>
      </w:r>
    </w:p>
    <w:p w14:paraId="6743ECC4" w14:textId="77777777" w:rsidR="00964BAB" w:rsidRDefault="00964BAB" w:rsidP="00964BAB">
      <w:pPr>
        <w:pBdr>
          <w:bottom w:val="single" w:sz="6" w:space="1" w:color="auto"/>
        </w:pBdr>
        <w:rPr>
          <w:rFonts w:ascii="Garamond" w:hAnsi="Garamond"/>
          <w:b/>
          <w:sz w:val="24"/>
          <w:szCs w:val="24"/>
        </w:rPr>
      </w:pPr>
    </w:p>
    <w:p w14:paraId="33DF0F1E" w14:textId="77777777" w:rsidR="00964BAB" w:rsidRDefault="00964BAB" w:rsidP="00964BAB">
      <w:pPr>
        <w:rPr>
          <w:rFonts w:ascii="Garamond" w:hAnsi="Garamond"/>
          <w:b/>
          <w:sz w:val="24"/>
          <w:szCs w:val="24"/>
        </w:rPr>
      </w:pPr>
    </w:p>
    <w:p w14:paraId="0F53CBAA" w14:textId="77777777" w:rsidR="00964BAB" w:rsidRPr="00491BA6" w:rsidRDefault="00964BAB">
      <w:pPr>
        <w:jc w:val="center"/>
        <w:rPr>
          <w:rFonts w:ascii="Garamond" w:hAnsi="Garamond"/>
          <w:b/>
          <w:sz w:val="24"/>
          <w:szCs w:val="24"/>
        </w:rPr>
      </w:pPr>
    </w:p>
    <w:p w14:paraId="24DCDBFC" w14:textId="77777777" w:rsidR="00F57301" w:rsidRPr="00491BA6" w:rsidRDefault="00F57301" w:rsidP="0086023B">
      <w:pPr>
        <w:ind w:left="1440"/>
        <w:contextualSpacing/>
        <w:rPr>
          <w:rFonts w:ascii="Garamond" w:hAnsi="Garamond"/>
          <w:sz w:val="24"/>
          <w:szCs w:val="24"/>
        </w:rPr>
      </w:pPr>
    </w:p>
    <w:p w14:paraId="47F02AD0" w14:textId="77777777" w:rsidR="00F57301" w:rsidRPr="00491BA6" w:rsidRDefault="00F57301">
      <w:pPr>
        <w:rPr>
          <w:rFonts w:ascii="Garamond" w:hAnsi="Garamond"/>
          <w:b/>
          <w:sz w:val="24"/>
          <w:szCs w:val="24"/>
        </w:rPr>
      </w:pPr>
    </w:p>
    <w:p w14:paraId="63A7465A" w14:textId="77777777" w:rsidR="00F57301" w:rsidRPr="00491BA6" w:rsidRDefault="00041C9A">
      <w:pPr>
        <w:rPr>
          <w:rFonts w:ascii="Garamond" w:hAnsi="Garamond"/>
          <w:b/>
          <w:sz w:val="24"/>
          <w:szCs w:val="24"/>
        </w:rPr>
      </w:pPr>
      <w:r w:rsidRPr="00491BA6">
        <w:rPr>
          <w:rFonts w:ascii="Garamond" w:hAnsi="Garamond"/>
          <w:b/>
          <w:sz w:val="24"/>
          <w:szCs w:val="24"/>
        </w:rPr>
        <w:t>Fee transparency</w:t>
      </w:r>
    </w:p>
    <w:p w14:paraId="760303FF" w14:textId="48EF3A67" w:rsidR="006943BA" w:rsidRDefault="00B36437" w:rsidP="00110365">
      <w:pPr>
        <w:ind w:left="720" w:hanging="360"/>
        <w:contextualSpacing/>
        <w:rPr>
          <w:rFonts w:ascii="Garamond" w:hAnsi="Garamond"/>
          <w:sz w:val="24"/>
          <w:szCs w:val="24"/>
        </w:rPr>
      </w:pPr>
      <w:bookmarkStart w:id="0" w:name="_Hlk517857310"/>
      <w:r>
        <w:rPr>
          <w:rFonts w:ascii="Garamond" w:hAnsi="Garamond"/>
          <w:sz w:val="24"/>
          <w:szCs w:val="24"/>
        </w:rPr>
        <w:t xml:space="preserve">3. </w:t>
      </w:r>
      <w:r w:rsidR="00041C9A" w:rsidRPr="00491BA6">
        <w:rPr>
          <w:rFonts w:ascii="Garamond" w:hAnsi="Garamond"/>
          <w:sz w:val="24"/>
          <w:szCs w:val="24"/>
        </w:rPr>
        <w:t>Please describe the system’s current prac</w:t>
      </w:r>
      <w:r w:rsidR="00221B4B">
        <w:rPr>
          <w:rFonts w:ascii="Garamond" w:hAnsi="Garamond"/>
          <w:sz w:val="24"/>
          <w:szCs w:val="24"/>
        </w:rPr>
        <w:t>tices on reporting fees to the B</w:t>
      </w:r>
      <w:r w:rsidR="00041C9A" w:rsidRPr="00491BA6">
        <w:rPr>
          <w:rFonts w:ascii="Garamond" w:hAnsi="Garamond"/>
          <w:sz w:val="24"/>
          <w:szCs w:val="24"/>
        </w:rPr>
        <w:t>oard and the public.</w:t>
      </w:r>
      <w:r w:rsidR="003B49BE">
        <w:rPr>
          <w:rFonts w:ascii="Garamond" w:hAnsi="Garamond"/>
          <w:sz w:val="24"/>
          <w:szCs w:val="24"/>
        </w:rPr>
        <w:t xml:space="preserve"> </w:t>
      </w:r>
      <w:r>
        <w:rPr>
          <w:rFonts w:ascii="Garamond" w:hAnsi="Garamond"/>
          <w:sz w:val="24"/>
          <w:szCs w:val="24"/>
        </w:rPr>
        <w:t xml:space="preserve"> </w:t>
      </w:r>
    </w:p>
    <w:p w14:paraId="4954EE0A" w14:textId="2D22D8BB" w:rsidR="00577C84" w:rsidRPr="006943BA" w:rsidRDefault="006943BA" w:rsidP="00577C84">
      <w:pPr>
        <w:ind w:left="720" w:firstLine="720"/>
        <w:contextualSpacing/>
        <w:rPr>
          <w:rFonts w:ascii="Garamond" w:hAnsi="Garamond"/>
          <w:color w:val="FF0000"/>
          <w:sz w:val="24"/>
          <w:szCs w:val="24"/>
        </w:rPr>
      </w:pPr>
      <w:r w:rsidRPr="006943BA">
        <w:rPr>
          <w:rFonts w:ascii="Garamond" w:hAnsi="Garamond"/>
          <w:color w:val="FF0000"/>
          <w:sz w:val="24"/>
          <w:szCs w:val="24"/>
        </w:rPr>
        <w:t>For all investment managers/opportunities</w:t>
      </w:r>
      <w:r w:rsidR="00577C84">
        <w:rPr>
          <w:rFonts w:ascii="Garamond" w:hAnsi="Garamond"/>
          <w:color w:val="FF0000"/>
          <w:sz w:val="24"/>
          <w:szCs w:val="24"/>
        </w:rPr>
        <w:t>,</w:t>
      </w:r>
      <w:r w:rsidRPr="006943BA">
        <w:rPr>
          <w:rFonts w:ascii="Garamond" w:hAnsi="Garamond"/>
          <w:color w:val="FF0000"/>
          <w:sz w:val="24"/>
          <w:szCs w:val="24"/>
        </w:rPr>
        <w:t xml:space="preserve"> the Board is asked to consider, the fee structure of the manager/opportunity is included in the </w:t>
      </w:r>
      <w:r w:rsidR="00577C84">
        <w:rPr>
          <w:rFonts w:ascii="Garamond" w:hAnsi="Garamond"/>
          <w:color w:val="FF0000"/>
          <w:sz w:val="24"/>
          <w:szCs w:val="24"/>
        </w:rPr>
        <w:t>material</w:t>
      </w:r>
      <w:r w:rsidRPr="006943BA">
        <w:rPr>
          <w:rFonts w:ascii="Garamond" w:hAnsi="Garamond"/>
          <w:color w:val="FF0000"/>
          <w:sz w:val="24"/>
          <w:szCs w:val="24"/>
        </w:rPr>
        <w:t xml:space="preserve"> provided to each Board member</w:t>
      </w:r>
      <w:r w:rsidR="00577C84">
        <w:rPr>
          <w:rFonts w:ascii="Garamond" w:hAnsi="Garamond"/>
          <w:color w:val="FF0000"/>
          <w:sz w:val="24"/>
          <w:szCs w:val="24"/>
        </w:rPr>
        <w:t xml:space="preserve"> before the manager is interviewed</w:t>
      </w:r>
      <w:r w:rsidRPr="006943BA">
        <w:rPr>
          <w:rFonts w:ascii="Garamond" w:hAnsi="Garamond"/>
          <w:color w:val="FF0000"/>
          <w:sz w:val="24"/>
          <w:szCs w:val="24"/>
        </w:rPr>
        <w:t>.  Total m</w:t>
      </w:r>
      <w:r w:rsidRPr="006943BA">
        <w:rPr>
          <w:rFonts w:ascii="Garamond" w:eastAsia="Times New Roman" w:hAnsi="Garamond"/>
          <w:color w:val="FF0000"/>
          <w:sz w:val="24"/>
          <w:szCs w:val="24"/>
        </w:rPr>
        <w:t>onthly fees paid to investment managers are reported to the Board in the Statement of Changes in Fiduciary Net Position</w:t>
      </w:r>
      <w:r w:rsidRPr="006943BA">
        <w:rPr>
          <w:rFonts w:ascii="Garamond" w:eastAsia="Times New Roman" w:hAnsi="Garamond"/>
          <w:color w:val="2E75B6"/>
          <w:sz w:val="24"/>
          <w:szCs w:val="24"/>
        </w:rPr>
        <w:t xml:space="preserve">. </w:t>
      </w:r>
      <w:r w:rsidRPr="006943BA">
        <w:rPr>
          <w:rFonts w:ascii="Garamond" w:hAnsi="Garamond"/>
          <w:color w:val="FF0000"/>
          <w:sz w:val="24"/>
          <w:szCs w:val="24"/>
        </w:rPr>
        <w:t xml:space="preserve">The annual fees and expenses paid to each manager/fund in which SERS is invested </w:t>
      </w:r>
      <w:r w:rsidR="00965E27">
        <w:rPr>
          <w:rFonts w:ascii="Garamond" w:hAnsi="Garamond"/>
          <w:color w:val="FF0000"/>
          <w:sz w:val="24"/>
          <w:szCs w:val="24"/>
        </w:rPr>
        <w:t>are</w:t>
      </w:r>
      <w:r w:rsidRPr="006943BA">
        <w:rPr>
          <w:rFonts w:ascii="Garamond" w:hAnsi="Garamond"/>
          <w:color w:val="FF0000"/>
          <w:sz w:val="24"/>
          <w:szCs w:val="24"/>
        </w:rPr>
        <w:t xml:space="preserve"> reported in SERS’ annual budget book</w:t>
      </w:r>
      <w:r w:rsidR="00965E27">
        <w:rPr>
          <w:rFonts w:ascii="Garamond" w:hAnsi="Garamond"/>
          <w:color w:val="FF0000"/>
          <w:sz w:val="24"/>
          <w:szCs w:val="24"/>
        </w:rPr>
        <w:t>, and in the aggregate in SERS’ Comprehensive Annual Financial Report (“CAFR”),</w:t>
      </w:r>
      <w:r w:rsidRPr="006943BA">
        <w:rPr>
          <w:rFonts w:ascii="Garamond" w:hAnsi="Garamond"/>
          <w:color w:val="FF0000"/>
          <w:sz w:val="24"/>
          <w:szCs w:val="24"/>
        </w:rPr>
        <w:t xml:space="preserve"> which </w:t>
      </w:r>
      <w:r w:rsidR="00965E27">
        <w:rPr>
          <w:rFonts w:ascii="Garamond" w:hAnsi="Garamond"/>
          <w:color w:val="FF0000"/>
          <w:sz w:val="24"/>
          <w:szCs w:val="24"/>
        </w:rPr>
        <w:t>are</w:t>
      </w:r>
      <w:r w:rsidR="00577C84">
        <w:rPr>
          <w:rFonts w:ascii="Garamond" w:hAnsi="Garamond"/>
          <w:color w:val="FF0000"/>
          <w:sz w:val="24"/>
          <w:szCs w:val="24"/>
        </w:rPr>
        <w:t xml:space="preserve"> available to the public</w:t>
      </w:r>
      <w:r w:rsidR="00577C84" w:rsidRPr="00577C84">
        <w:rPr>
          <w:rFonts w:ascii="Garamond" w:hAnsi="Garamond"/>
          <w:color w:val="FF0000"/>
          <w:sz w:val="24"/>
          <w:szCs w:val="24"/>
        </w:rPr>
        <w:t xml:space="preserve"> </w:t>
      </w:r>
      <w:r w:rsidR="00577C84">
        <w:rPr>
          <w:rFonts w:ascii="Garamond" w:hAnsi="Garamond"/>
          <w:color w:val="FF0000"/>
          <w:sz w:val="24"/>
          <w:szCs w:val="24"/>
        </w:rPr>
        <w:t>on SERS’ website, www. SERS.pa.gov</w:t>
      </w:r>
      <w:r w:rsidR="00577C84" w:rsidRPr="006943BA">
        <w:rPr>
          <w:rFonts w:ascii="Garamond" w:hAnsi="Garamond"/>
          <w:color w:val="FF0000"/>
          <w:sz w:val="24"/>
          <w:szCs w:val="24"/>
        </w:rPr>
        <w:t>.</w:t>
      </w:r>
    </w:p>
    <w:p w14:paraId="30452219" w14:textId="47BABC3A" w:rsidR="006943BA" w:rsidRPr="006943BA" w:rsidRDefault="006943BA" w:rsidP="006943BA">
      <w:pPr>
        <w:ind w:left="720" w:firstLine="720"/>
        <w:contextualSpacing/>
        <w:rPr>
          <w:rFonts w:ascii="Garamond" w:hAnsi="Garamond"/>
          <w:color w:val="FF0000"/>
          <w:sz w:val="24"/>
          <w:szCs w:val="24"/>
        </w:rPr>
      </w:pPr>
    </w:p>
    <w:p w14:paraId="6739D4DF" w14:textId="373B2026" w:rsidR="006943BA" w:rsidRPr="006943BA" w:rsidRDefault="006943BA" w:rsidP="006943BA">
      <w:pPr>
        <w:ind w:left="720" w:firstLine="720"/>
        <w:contextualSpacing/>
        <w:rPr>
          <w:rFonts w:ascii="Garamond" w:hAnsi="Garamond"/>
          <w:color w:val="FF0000"/>
          <w:sz w:val="24"/>
          <w:szCs w:val="24"/>
        </w:rPr>
      </w:pPr>
      <w:r w:rsidRPr="006943BA">
        <w:rPr>
          <w:rFonts w:ascii="Garamond" w:hAnsi="Garamond"/>
          <w:color w:val="FF0000"/>
          <w:sz w:val="24"/>
          <w:szCs w:val="24"/>
        </w:rPr>
        <w:t>The term “fee” in this inquiry is not defined.  Unlike index strategies, where fees are clearly defined, static and charged on a quarterly basis, “fees” for private equity/real estate partnerships are more complex, especially considering the multi-phase temporal structure of payments to the General Partner and how those payments are ultimately refunded to SERS as a limited partner.  During the investment stage of the partnership, each limited partner is charged its pro rata share of (</w:t>
      </w:r>
      <w:proofErr w:type="spellStart"/>
      <w:r w:rsidRPr="006943BA">
        <w:rPr>
          <w:rFonts w:ascii="Garamond" w:hAnsi="Garamond"/>
          <w:color w:val="FF0000"/>
          <w:sz w:val="24"/>
          <w:szCs w:val="24"/>
        </w:rPr>
        <w:t>i</w:t>
      </w:r>
      <w:proofErr w:type="spellEnd"/>
      <w:r w:rsidRPr="006943BA">
        <w:rPr>
          <w:rFonts w:ascii="Garamond" w:hAnsi="Garamond"/>
          <w:color w:val="FF0000"/>
          <w:sz w:val="24"/>
          <w:szCs w:val="24"/>
        </w:rPr>
        <w:t>) the investment costs of the Fund’s underlying portfolio investments, (ii) a management fee paid quarterly to the general partner, and (iii) partnership expenses to run the Fund, all of which comes out of their capital commitments.  In most cases, once income is realized by the Fund, that income is distributed 100% to the limited partners until both of the following conditions are satisfied: (A) a complete return of all capital contributions, including all costs, fees and expenses; and (B) a preferred return on capital commitments, typically 8%-10% compounded annually.  Only after these conditions have been completely satisfied are any additional profits shared between the limited partners and the general partner (typically split by 4 out of 5 excess dollars going to the limited partners, and 1 out of 5 excess dollars going to the general partner).</w:t>
      </w:r>
      <w:r w:rsidR="00965E27">
        <w:rPr>
          <w:rFonts w:ascii="Garamond" w:hAnsi="Garamond"/>
          <w:color w:val="FF0000"/>
          <w:sz w:val="24"/>
          <w:szCs w:val="24"/>
        </w:rPr>
        <w:t xml:space="preserve">  </w:t>
      </w:r>
      <w:r w:rsidRPr="006943BA">
        <w:rPr>
          <w:rFonts w:ascii="Garamond" w:hAnsi="Garamond"/>
          <w:color w:val="FF0000"/>
          <w:sz w:val="24"/>
          <w:szCs w:val="24"/>
        </w:rPr>
        <w:t>As a large majority of SERS’ partnership investments have not only completely returned all capital contributions, but also realized excess profits over the life of the Funds, 100% of management fees initially paid to the general partners of such Funds were fully reimbursed.</w:t>
      </w:r>
    </w:p>
    <w:p w14:paraId="30A86D44" w14:textId="63345C10" w:rsidR="006943BA" w:rsidRPr="006943BA" w:rsidRDefault="006943BA" w:rsidP="006943BA">
      <w:pPr>
        <w:ind w:left="720" w:firstLine="720"/>
        <w:contextualSpacing/>
        <w:rPr>
          <w:rFonts w:ascii="Garamond" w:hAnsi="Garamond"/>
          <w:color w:val="FF0000"/>
          <w:sz w:val="24"/>
          <w:szCs w:val="24"/>
        </w:rPr>
      </w:pPr>
      <w:r w:rsidRPr="006943BA">
        <w:rPr>
          <w:rFonts w:ascii="Garamond" w:hAnsi="Garamond"/>
          <w:color w:val="FF0000"/>
          <w:sz w:val="24"/>
          <w:szCs w:val="24"/>
        </w:rPr>
        <w:t xml:space="preserve">Therefore, complete and accurate reporting and analysis can only be done in the context of returns net of fees, which can only be calculated at the end of the life of an investment, rather than pointing to an arbitrary point on the J curve for a cost analysis.  While “fees” are reported on the templates provided in the response to the inquiry in #6 </w:t>
      </w:r>
      <w:r w:rsidRPr="006943BA">
        <w:rPr>
          <w:rFonts w:ascii="Garamond" w:hAnsi="Garamond"/>
          <w:color w:val="FF0000"/>
          <w:sz w:val="24"/>
          <w:szCs w:val="24"/>
        </w:rPr>
        <w:lastRenderedPageBreak/>
        <w:t xml:space="preserve">below in all cases, and while “fees” are generally reported in SERS’ </w:t>
      </w:r>
      <w:r w:rsidR="00965E27">
        <w:rPr>
          <w:rFonts w:ascii="Garamond" w:hAnsi="Garamond"/>
          <w:color w:val="FF0000"/>
          <w:sz w:val="24"/>
          <w:szCs w:val="24"/>
        </w:rPr>
        <w:t>b</w:t>
      </w:r>
      <w:r w:rsidRPr="006943BA">
        <w:rPr>
          <w:rFonts w:ascii="Garamond" w:hAnsi="Garamond"/>
          <w:color w:val="FF0000"/>
          <w:sz w:val="24"/>
          <w:szCs w:val="24"/>
        </w:rPr>
        <w:t>udget materials and CAFR, the ultimate “fees” that SERS actually pays as a limited partner in a partnership are not, and cannot be, accurately known until the completion of the Partnership, and in most cases, are $0.</w:t>
      </w:r>
    </w:p>
    <w:p w14:paraId="4874A604" w14:textId="09A8CD4E" w:rsidR="006943BA" w:rsidRPr="006943BA" w:rsidRDefault="006943BA" w:rsidP="006943BA">
      <w:pPr>
        <w:ind w:left="720" w:firstLine="720"/>
        <w:contextualSpacing/>
        <w:rPr>
          <w:rFonts w:ascii="Garamond" w:hAnsi="Garamond"/>
          <w:color w:val="FF0000"/>
          <w:sz w:val="24"/>
          <w:szCs w:val="24"/>
        </w:rPr>
      </w:pPr>
      <w:r w:rsidRPr="006943BA">
        <w:rPr>
          <w:rFonts w:ascii="Garamond" w:hAnsi="Garamond"/>
          <w:color w:val="FF0000"/>
          <w:sz w:val="24"/>
          <w:szCs w:val="24"/>
        </w:rPr>
        <w:t>In SERS’ non-partnership passive investment strategies, as well as some comingled active strategies, the fees are based on a percentage of portfolio assets under management.  Often, the rate of the fees is reduced in a tiered structure (i.e., each higher tier of funds under management carries a lower fee percentage that is paid to the manager</w:t>
      </w:r>
      <w:r w:rsidR="00965E27">
        <w:rPr>
          <w:rFonts w:ascii="Garamond" w:hAnsi="Garamond"/>
          <w:color w:val="FF0000"/>
          <w:sz w:val="24"/>
          <w:szCs w:val="24"/>
        </w:rPr>
        <w:t>)</w:t>
      </w:r>
      <w:r w:rsidRPr="006943BA">
        <w:rPr>
          <w:rFonts w:ascii="Garamond" w:hAnsi="Garamond"/>
          <w:color w:val="FF0000"/>
          <w:sz w:val="24"/>
          <w:szCs w:val="24"/>
        </w:rPr>
        <w:t>.  This fee structure is usually set-up as follows: “The first $X under management is charged a fee of AA%; the next $XX-$XXX under management is charged a fee of BB%; etc.”  As this fee structure is based solely on assets under management, and is not performance-based, fees are paid regardless of performance of the manager.</w:t>
      </w:r>
    </w:p>
    <w:p w14:paraId="31695095" w14:textId="3E11B8E7" w:rsidR="006943BA" w:rsidRDefault="006943BA" w:rsidP="00577C84">
      <w:pPr>
        <w:ind w:left="720" w:firstLine="720"/>
        <w:contextualSpacing/>
        <w:rPr>
          <w:rFonts w:ascii="Garamond" w:hAnsi="Garamond"/>
          <w:color w:val="FF0000"/>
          <w:sz w:val="24"/>
          <w:szCs w:val="24"/>
        </w:rPr>
      </w:pPr>
      <w:r w:rsidRPr="006943BA">
        <w:rPr>
          <w:rFonts w:ascii="Garamond" w:hAnsi="Garamond"/>
          <w:color w:val="FF0000"/>
          <w:sz w:val="24"/>
          <w:szCs w:val="24"/>
        </w:rPr>
        <w:t>Other comingled active strategies have a fee structure similar to what is described above, but with a reduced base fee coupled with a performance incentive fee.  This structure rewards the active manager for surpassing established benchmarks for the portfolio it is managing.  This additional performance-based component of the management fee is typically expressed as “reference benchmark plus XXX basis points [of over performance beyond the benchmark] earns an additional Y%”.  If the manager does not exceed the benchmark by the amount stated, no incentive fee is earned, even if the manager is able to earn a return.  These fee structures often have an upper level asset floor set every evaluation period where applicable, so that any losses in an investment strategy must be recouped before an incentive fee is eligible to be earned.</w:t>
      </w:r>
    </w:p>
    <w:p w14:paraId="0D4AD538" w14:textId="7A9D1919" w:rsidR="00B36437" w:rsidRDefault="00B36437" w:rsidP="00B36437">
      <w:pPr>
        <w:ind w:left="360"/>
        <w:contextualSpacing/>
        <w:rPr>
          <w:rFonts w:ascii="Garamond" w:hAnsi="Garamond"/>
          <w:color w:val="FF0000"/>
          <w:sz w:val="24"/>
          <w:szCs w:val="24"/>
        </w:rPr>
      </w:pPr>
    </w:p>
    <w:bookmarkEnd w:id="0"/>
    <w:p w14:paraId="42900F03" w14:textId="0E4A9039" w:rsidR="00F57301" w:rsidRDefault="00A63E66" w:rsidP="00110365">
      <w:pPr>
        <w:ind w:left="720" w:hanging="360"/>
        <w:contextualSpacing/>
        <w:rPr>
          <w:rFonts w:ascii="Garamond" w:hAnsi="Garamond"/>
          <w:sz w:val="24"/>
          <w:szCs w:val="24"/>
        </w:rPr>
      </w:pPr>
      <w:r>
        <w:rPr>
          <w:rFonts w:ascii="Garamond" w:hAnsi="Garamond"/>
          <w:sz w:val="24"/>
          <w:szCs w:val="24"/>
        </w:rPr>
        <w:t xml:space="preserve">5. </w:t>
      </w:r>
      <w:r w:rsidR="00110365">
        <w:rPr>
          <w:rFonts w:ascii="Garamond" w:hAnsi="Garamond"/>
          <w:sz w:val="24"/>
          <w:szCs w:val="24"/>
        </w:rPr>
        <w:t xml:space="preserve">  </w:t>
      </w:r>
      <w:r w:rsidR="00041C9A" w:rsidRPr="00491BA6">
        <w:rPr>
          <w:rFonts w:ascii="Garamond" w:hAnsi="Garamond"/>
          <w:sz w:val="24"/>
          <w:szCs w:val="24"/>
        </w:rPr>
        <w:t>Please provide a copy of the applicable offering document(s)/side letter(s)/investment management agreement(s) outlining the terms of the investment arrangement for each investment made within the past five years.</w:t>
      </w:r>
    </w:p>
    <w:p w14:paraId="7F676A3B" w14:textId="77777777" w:rsidR="00A63E66" w:rsidRPr="00A63E66" w:rsidRDefault="00A63E66" w:rsidP="00A63E66">
      <w:pPr>
        <w:ind w:left="720"/>
        <w:contextualSpacing/>
        <w:rPr>
          <w:rFonts w:ascii="Garamond" w:hAnsi="Garamond"/>
          <w:color w:val="FF0000"/>
          <w:sz w:val="24"/>
          <w:szCs w:val="24"/>
        </w:rPr>
      </w:pPr>
      <w:r w:rsidRPr="00A63E66">
        <w:rPr>
          <w:rFonts w:ascii="Garamond" w:hAnsi="Garamond"/>
          <w:color w:val="FF0000"/>
          <w:sz w:val="24"/>
          <w:szCs w:val="24"/>
        </w:rPr>
        <w:t xml:space="preserve">With regard to the request to provide applicable offering documents, there are restrictions by the Securities and Exchange Commission on who is allowed to view the offer of unregistered securities.  </w:t>
      </w:r>
      <w:r w:rsidRPr="00A63E66">
        <w:rPr>
          <w:rFonts w:ascii="Garamond" w:hAnsi="Garamond"/>
          <w:color w:val="FF0000"/>
          <w:sz w:val="24"/>
          <w:szCs w:val="24"/>
          <w:u w:val="single"/>
        </w:rPr>
        <w:t>See</w:t>
      </w:r>
      <w:r w:rsidRPr="00A63E66">
        <w:rPr>
          <w:rFonts w:ascii="Garamond" w:hAnsi="Garamond"/>
          <w:color w:val="FF0000"/>
          <w:sz w:val="24"/>
          <w:szCs w:val="24"/>
        </w:rPr>
        <w:t xml:space="preserve"> the Securities Act of 1933, as well as Rule 506 of Regulation D, definition of Accredited Investor (https://www.sec.gov/fast-answers/answers-rule506htm.html).  Federal law requires the general partners to keep their offering materials and constituent documents confidential, or they risk losing certain registration exemptions that are vital to their business model (including avoiding federal restrictions on the amount of capital they can raise).  Because SERS expects that the general partners will not want to risk being required to register securities under the regulations, it is anticipated that disclosure could result in SERS being (</w:t>
      </w:r>
      <w:proofErr w:type="spellStart"/>
      <w:r w:rsidRPr="00A63E66">
        <w:rPr>
          <w:rFonts w:ascii="Garamond" w:hAnsi="Garamond"/>
          <w:color w:val="FF0000"/>
          <w:sz w:val="24"/>
          <w:szCs w:val="24"/>
        </w:rPr>
        <w:t>i</w:t>
      </w:r>
      <w:proofErr w:type="spellEnd"/>
      <w:r w:rsidRPr="00A63E66">
        <w:rPr>
          <w:rFonts w:ascii="Garamond" w:hAnsi="Garamond"/>
          <w:color w:val="FF0000"/>
          <w:sz w:val="24"/>
          <w:szCs w:val="24"/>
        </w:rPr>
        <w:t>) ejected from the existing investment, or (ii) sued for breach of contract.  As such, this information is not permitted to be released to unauthorized individuals.</w:t>
      </w:r>
    </w:p>
    <w:p w14:paraId="3D63464E" w14:textId="77777777" w:rsidR="00A63E66" w:rsidRPr="00A63E66" w:rsidRDefault="00A63E66" w:rsidP="00A63E66">
      <w:pPr>
        <w:ind w:left="720"/>
        <w:contextualSpacing/>
        <w:rPr>
          <w:rFonts w:ascii="Garamond" w:hAnsi="Garamond"/>
          <w:color w:val="FF0000"/>
          <w:sz w:val="24"/>
          <w:szCs w:val="24"/>
        </w:rPr>
      </w:pPr>
    </w:p>
    <w:p w14:paraId="248CF554" w14:textId="77777777" w:rsidR="00A63E66" w:rsidRPr="00A63E66" w:rsidRDefault="00A63E66" w:rsidP="00A63E66">
      <w:pPr>
        <w:ind w:left="720"/>
        <w:contextualSpacing/>
        <w:rPr>
          <w:rFonts w:ascii="Garamond" w:hAnsi="Garamond"/>
          <w:color w:val="FF0000"/>
          <w:sz w:val="24"/>
          <w:szCs w:val="24"/>
        </w:rPr>
      </w:pPr>
      <w:r w:rsidRPr="00A63E66">
        <w:rPr>
          <w:rFonts w:ascii="Garamond" w:hAnsi="Garamond"/>
          <w:color w:val="FF0000"/>
          <w:sz w:val="24"/>
          <w:szCs w:val="24"/>
        </w:rPr>
        <w:t xml:space="preserve">As to the request for side letters, </w:t>
      </w:r>
      <w:r w:rsidRPr="00A63E66">
        <w:rPr>
          <w:rFonts w:ascii="Garamond" w:hAnsi="Garamond"/>
          <w:color w:val="FF0000"/>
          <w:sz w:val="24"/>
          <w:szCs w:val="24"/>
          <w:lang w:val="en-US"/>
        </w:rPr>
        <w:t xml:space="preserve">the contract documents for each of SERS’ limited partnership investments, including the side letters themselves, expressly require the Board to hold sensitive investment or financial information in strict confidence (including the Limited Partnership Agreements and the side letters that modify them), absent receipt of the prior </w:t>
      </w:r>
      <w:r w:rsidRPr="00A63E66">
        <w:rPr>
          <w:rFonts w:ascii="Garamond" w:hAnsi="Garamond"/>
          <w:color w:val="FF0000"/>
          <w:sz w:val="24"/>
          <w:szCs w:val="24"/>
          <w:lang w:val="en-US"/>
        </w:rPr>
        <w:lastRenderedPageBreak/>
        <w:t>consent from a general partner to disclose.  Such documents further require that the Board utilize the exemptions set forth in the Pennsylvania Right-to-Know Law, 65 P.S. §§67.101-67-67.3104, and the Retirement Code, 71 Pa. C.S. §5902(e), as well as to notify the general partners of any potential disclosure in breach of such agreements in advance so that they may seek injunctive relief in the form of a court order blocking the potential disclosure. Given this, SERS and its general partners have agreed that only certain partnership terms and information may be released to the public (i.e., redacted Subscription Agreements</w:t>
      </w:r>
      <w:r w:rsidRPr="00A63E66">
        <w:rPr>
          <w:rFonts w:ascii="Garamond" w:hAnsi="Garamond"/>
          <w:color w:val="FF0000"/>
          <w:sz w:val="24"/>
          <w:szCs w:val="24"/>
          <w:vertAlign w:val="superscript"/>
          <w:lang w:val="en-US"/>
        </w:rPr>
        <w:footnoteReference w:id="2"/>
      </w:r>
      <w:r w:rsidRPr="00A63E66">
        <w:rPr>
          <w:rFonts w:ascii="Garamond" w:hAnsi="Garamond"/>
          <w:color w:val="FF0000"/>
          <w:sz w:val="24"/>
          <w:szCs w:val="24"/>
          <w:lang w:val="en-US"/>
        </w:rPr>
        <w:t>, which are uploaded onto the PA Treasury Department’s website; information contained in the CAFR).  P</w:t>
      </w:r>
      <w:r w:rsidRPr="00A63E66">
        <w:rPr>
          <w:rFonts w:ascii="Garamond" w:hAnsi="Garamond"/>
          <w:color w:val="FF0000"/>
          <w:sz w:val="24"/>
          <w:szCs w:val="24"/>
        </w:rPr>
        <w:t xml:space="preserve">lease see attached copies of redacted Subscription Agreements for each investment during the applicable period </w:t>
      </w:r>
      <w:bookmarkStart w:id="1" w:name="_Hlk517352810"/>
      <w:r w:rsidRPr="00A63E66">
        <w:rPr>
          <w:rFonts w:ascii="Garamond" w:hAnsi="Garamond"/>
          <w:color w:val="FF0000"/>
          <w:sz w:val="24"/>
          <w:szCs w:val="24"/>
        </w:rPr>
        <w:t>(file names beginning with 004-5)</w:t>
      </w:r>
      <w:bookmarkEnd w:id="1"/>
      <w:r w:rsidRPr="00A63E66">
        <w:rPr>
          <w:rFonts w:ascii="Garamond" w:hAnsi="Garamond"/>
          <w:color w:val="FF0000"/>
          <w:sz w:val="24"/>
          <w:szCs w:val="24"/>
        </w:rPr>
        <w:t>.</w:t>
      </w:r>
    </w:p>
    <w:p w14:paraId="741D5AC5" w14:textId="77777777" w:rsidR="00A63E66" w:rsidRDefault="00A63E66" w:rsidP="00A63E66">
      <w:pPr>
        <w:ind w:left="720"/>
        <w:contextualSpacing/>
        <w:rPr>
          <w:rFonts w:ascii="Garamond" w:hAnsi="Garamond"/>
          <w:color w:val="FF0000"/>
          <w:sz w:val="24"/>
          <w:szCs w:val="24"/>
        </w:rPr>
      </w:pPr>
    </w:p>
    <w:p w14:paraId="0378C4F6" w14:textId="4B28B7BB" w:rsidR="00A63E66" w:rsidRPr="00A63E66" w:rsidRDefault="00A63E66" w:rsidP="00A63E66">
      <w:pPr>
        <w:ind w:left="720"/>
        <w:contextualSpacing/>
        <w:rPr>
          <w:rFonts w:ascii="Garamond" w:hAnsi="Garamond"/>
          <w:color w:val="FF0000"/>
          <w:sz w:val="24"/>
          <w:szCs w:val="24"/>
        </w:rPr>
      </w:pPr>
      <w:r w:rsidRPr="00A63E66">
        <w:rPr>
          <w:rFonts w:ascii="Garamond" w:hAnsi="Garamond"/>
          <w:color w:val="FF0000"/>
          <w:sz w:val="24"/>
          <w:szCs w:val="24"/>
        </w:rPr>
        <w:t>Please see attached copies of redacted Investment Management Agreements for each investment during the applicable period (file names beginning with 004-5).</w:t>
      </w:r>
    </w:p>
    <w:p w14:paraId="5930A959" w14:textId="3ADDADF9" w:rsidR="00A63E66" w:rsidRDefault="00A63E66" w:rsidP="00A63E66">
      <w:pPr>
        <w:ind w:left="1440"/>
        <w:contextualSpacing/>
        <w:rPr>
          <w:rFonts w:ascii="Garamond" w:hAnsi="Garamond"/>
          <w:sz w:val="24"/>
          <w:szCs w:val="24"/>
        </w:rPr>
      </w:pPr>
    </w:p>
    <w:p w14:paraId="5C97ACE3" w14:textId="77777777" w:rsidR="00A63E66" w:rsidRPr="00D63C93" w:rsidRDefault="00A63E66" w:rsidP="00A63E66">
      <w:pPr>
        <w:pStyle w:val="FootnoteText"/>
        <w:ind w:left="720"/>
        <w:rPr>
          <w:rFonts w:ascii="Garamond" w:hAnsi="Garamond"/>
          <w:color w:val="FF0000"/>
          <w:lang w:val="en-US"/>
        </w:rPr>
      </w:pPr>
      <w:r w:rsidRPr="00D63C93">
        <w:rPr>
          <w:rStyle w:val="FootnoteReference"/>
          <w:rFonts w:ascii="Garamond" w:hAnsi="Garamond"/>
          <w:color w:val="FF0000"/>
        </w:rPr>
        <w:footnoteRef/>
      </w:r>
      <w:r w:rsidRPr="00D63C93">
        <w:rPr>
          <w:rFonts w:ascii="Garamond" w:hAnsi="Garamond"/>
          <w:color w:val="FF0000"/>
        </w:rPr>
        <w:t xml:space="preserve"> The following items are redacted in Subscription Agreements prior to their public posting on the Treasury Department’s website: (</w:t>
      </w:r>
      <w:proofErr w:type="spellStart"/>
      <w:r w:rsidRPr="00D63C93">
        <w:rPr>
          <w:rFonts w:ascii="Garamond" w:hAnsi="Garamond"/>
          <w:color w:val="FF0000"/>
        </w:rPr>
        <w:t>i</w:t>
      </w:r>
      <w:proofErr w:type="spellEnd"/>
      <w:r w:rsidRPr="00D63C93">
        <w:rPr>
          <w:rFonts w:ascii="Garamond" w:hAnsi="Garamond"/>
          <w:color w:val="FF0000"/>
        </w:rPr>
        <w:t>) SERS Banking/Wiring/Delivery instructions; (ii) SERS Correspondence Charts; and (iii) SERS Federal ID Number (TIN), as such information is exempt from disclosure under Section 708 of the Right-to-Know Law, 65 P.S. §§67.101-67.3104.</w:t>
      </w:r>
    </w:p>
    <w:p w14:paraId="6567FFD9" w14:textId="61CF123A" w:rsidR="00A63E66" w:rsidRDefault="00A63E66" w:rsidP="00A63E66">
      <w:pPr>
        <w:ind w:left="720"/>
        <w:contextualSpacing/>
        <w:rPr>
          <w:rFonts w:ascii="Garamond" w:hAnsi="Garamond"/>
          <w:sz w:val="24"/>
          <w:szCs w:val="24"/>
        </w:rPr>
      </w:pPr>
    </w:p>
    <w:p w14:paraId="5FFB3893" w14:textId="43B642C2" w:rsidR="00A63E66" w:rsidRDefault="00A63E66" w:rsidP="00A63E66">
      <w:pPr>
        <w:ind w:left="720"/>
        <w:contextualSpacing/>
        <w:rPr>
          <w:rFonts w:ascii="Garamond" w:hAnsi="Garamond"/>
          <w:sz w:val="24"/>
          <w:szCs w:val="24"/>
        </w:rPr>
      </w:pPr>
    </w:p>
    <w:p w14:paraId="422BE0C5" w14:textId="77777777" w:rsidR="00A63E66" w:rsidRPr="00491BA6" w:rsidRDefault="00A63E66" w:rsidP="00A63E66">
      <w:pPr>
        <w:ind w:left="720"/>
        <w:contextualSpacing/>
        <w:rPr>
          <w:rFonts w:ascii="Garamond" w:hAnsi="Garamond"/>
          <w:sz w:val="24"/>
          <w:szCs w:val="24"/>
        </w:rPr>
      </w:pPr>
    </w:p>
    <w:p w14:paraId="088B9935" w14:textId="4938BEAA" w:rsidR="002E2FA9" w:rsidRDefault="00A63E66" w:rsidP="00110365">
      <w:pPr>
        <w:ind w:left="720" w:hanging="360"/>
        <w:contextualSpacing/>
        <w:rPr>
          <w:rFonts w:ascii="Garamond" w:hAnsi="Garamond"/>
          <w:color w:val="FF0000"/>
          <w:sz w:val="24"/>
          <w:szCs w:val="24"/>
        </w:rPr>
      </w:pPr>
      <w:r>
        <w:rPr>
          <w:rFonts w:ascii="Garamond" w:hAnsi="Garamond"/>
          <w:sz w:val="24"/>
          <w:szCs w:val="24"/>
        </w:rPr>
        <w:t xml:space="preserve">6. </w:t>
      </w:r>
      <w:r w:rsidR="00110365">
        <w:rPr>
          <w:rFonts w:ascii="Garamond" w:hAnsi="Garamond"/>
          <w:sz w:val="24"/>
          <w:szCs w:val="24"/>
        </w:rPr>
        <w:t xml:space="preserve">  </w:t>
      </w:r>
      <w:r w:rsidR="00041C9A" w:rsidRPr="00491BA6">
        <w:rPr>
          <w:rFonts w:ascii="Garamond" w:hAnsi="Garamond"/>
          <w:sz w:val="24"/>
          <w:szCs w:val="24"/>
        </w:rPr>
        <w:t>Please provide a copy of the most recent invoice showing the fee calculation (for private equity/real estate/infrastructure/etc., please additionally provide a copy of the capital statement showing the carry calculation and a copy of the ILPA report) for each investment made within the past five years.</w:t>
      </w:r>
      <w:r w:rsidR="002E2FA9">
        <w:rPr>
          <w:rFonts w:ascii="Garamond" w:hAnsi="Garamond"/>
          <w:sz w:val="24"/>
          <w:szCs w:val="24"/>
        </w:rPr>
        <w:t xml:space="preserve">  </w:t>
      </w:r>
      <w:r w:rsidR="002E2FA9" w:rsidRPr="002E2FA9">
        <w:rPr>
          <w:rFonts w:ascii="Garamond" w:hAnsi="Garamond"/>
          <w:color w:val="FF0000"/>
          <w:sz w:val="24"/>
          <w:szCs w:val="24"/>
        </w:rPr>
        <w:t>Please see the attached templates marked 6A, 6B and 6C (file names beginning with 004-6).  6A and 6B were the templates being used by SERS, as requested in each of its side letters, before SERS adopted the ILPA standard.  Template 6C is the ILPA standard template now being requested by SERS in its side letters.  While SERS may not receive the information in the form of the template requested, SERS receives the information contained within the template in varying formats on a partnership-to-partnership basis.  Actual reports issued by individual partnerships and managers are confidential as described more completely in the response to the inquiry in #5 above.</w:t>
      </w:r>
    </w:p>
    <w:p w14:paraId="4EF6835B" w14:textId="621A1099" w:rsidR="006943BA" w:rsidRDefault="006943BA" w:rsidP="002E2FA9">
      <w:pPr>
        <w:ind w:left="720"/>
        <w:contextualSpacing/>
        <w:rPr>
          <w:rFonts w:ascii="Garamond" w:hAnsi="Garamond"/>
          <w:color w:val="FF0000"/>
          <w:sz w:val="24"/>
          <w:szCs w:val="24"/>
        </w:rPr>
      </w:pPr>
    </w:p>
    <w:p w14:paraId="1CFBB5EB" w14:textId="7F7EC744" w:rsidR="006943BA" w:rsidRDefault="006943BA" w:rsidP="002E2FA9">
      <w:pPr>
        <w:ind w:left="720"/>
        <w:contextualSpacing/>
        <w:rPr>
          <w:rFonts w:ascii="Garamond" w:hAnsi="Garamond"/>
          <w:color w:val="FF0000"/>
          <w:sz w:val="24"/>
          <w:szCs w:val="24"/>
        </w:rPr>
      </w:pPr>
    </w:p>
    <w:p w14:paraId="3DAF862C" w14:textId="11BB133D" w:rsidR="006943BA" w:rsidRDefault="006943BA" w:rsidP="002E2FA9">
      <w:pPr>
        <w:ind w:left="720"/>
        <w:contextualSpacing/>
        <w:rPr>
          <w:rFonts w:ascii="Garamond" w:hAnsi="Garamond"/>
          <w:color w:val="FF0000"/>
          <w:sz w:val="24"/>
          <w:szCs w:val="24"/>
        </w:rPr>
      </w:pPr>
    </w:p>
    <w:p w14:paraId="50DDC90D" w14:textId="6776D2E9" w:rsidR="006943BA" w:rsidRDefault="006943BA" w:rsidP="002E2FA9">
      <w:pPr>
        <w:ind w:left="720"/>
        <w:contextualSpacing/>
        <w:rPr>
          <w:rFonts w:ascii="Garamond" w:hAnsi="Garamond"/>
          <w:color w:val="FF0000"/>
          <w:sz w:val="24"/>
          <w:szCs w:val="24"/>
        </w:rPr>
      </w:pPr>
    </w:p>
    <w:p w14:paraId="548610A8" w14:textId="3639D8F8" w:rsidR="006943BA" w:rsidRDefault="006943BA" w:rsidP="002E2FA9">
      <w:pPr>
        <w:ind w:left="720"/>
        <w:contextualSpacing/>
        <w:rPr>
          <w:rFonts w:ascii="Garamond" w:hAnsi="Garamond"/>
          <w:color w:val="FF0000"/>
          <w:sz w:val="24"/>
          <w:szCs w:val="24"/>
        </w:rPr>
      </w:pPr>
    </w:p>
    <w:p w14:paraId="6445770F" w14:textId="57F579E7" w:rsidR="006943BA" w:rsidRDefault="006943BA" w:rsidP="002E2FA9">
      <w:pPr>
        <w:ind w:left="720"/>
        <w:contextualSpacing/>
        <w:rPr>
          <w:rFonts w:ascii="Garamond" w:hAnsi="Garamond"/>
          <w:color w:val="FF0000"/>
          <w:sz w:val="24"/>
          <w:szCs w:val="24"/>
        </w:rPr>
      </w:pPr>
    </w:p>
    <w:p w14:paraId="7F526BA1" w14:textId="17F80217" w:rsidR="006943BA" w:rsidRDefault="006943BA" w:rsidP="002E2FA9">
      <w:pPr>
        <w:ind w:left="720"/>
        <w:contextualSpacing/>
        <w:rPr>
          <w:rFonts w:ascii="Garamond" w:hAnsi="Garamond"/>
          <w:color w:val="FF0000"/>
          <w:sz w:val="24"/>
          <w:szCs w:val="24"/>
        </w:rPr>
      </w:pPr>
    </w:p>
    <w:p w14:paraId="2074F6E9" w14:textId="42311838" w:rsidR="006943BA" w:rsidRDefault="006943BA" w:rsidP="002E2FA9">
      <w:pPr>
        <w:ind w:left="720"/>
        <w:contextualSpacing/>
        <w:rPr>
          <w:rFonts w:ascii="Garamond" w:hAnsi="Garamond"/>
          <w:color w:val="FF0000"/>
          <w:sz w:val="24"/>
          <w:szCs w:val="24"/>
        </w:rPr>
      </w:pPr>
    </w:p>
    <w:p w14:paraId="707AF26F" w14:textId="4618F60C" w:rsidR="006943BA" w:rsidRDefault="006943BA" w:rsidP="002E2FA9">
      <w:pPr>
        <w:ind w:left="720"/>
        <w:contextualSpacing/>
        <w:rPr>
          <w:rFonts w:ascii="Garamond" w:hAnsi="Garamond"/>
          <w:sz w:val="24"/>
          <w:szCs w:val="24"/>
        </w:rPr>
      </w:pPr>
    </w:p>
    <w:p w14:paraId="46A3F690" w14:textId="77777777" w:rsidR="00110365" w:rsidRPr="002E2FA9" w:rsidRDefault="00110365" w:rsidP="002E2FA9">
      <w:pPr>
        <w:ind w:left="720"/>
        <w:contextualSpacing/>
        <w:rPr>
          <w:rFonts w:ascii="Garamond" w:hAnsi="Garamond"/>
          <w:sz w:val="24"/>
          <w:szCs w:val="24"/>
        </w:rPr>
      </w:pPr>
    </w:p>
    <w:p w14:paraId="2EC5BDE8" w14:textId="6E8128A5" w:rsidR="00F57301" w:rsidRPr="00BD7256" w:rsidRDefault="001B7FB3" w:rsidP="002E2FA9">
      <w:pPr>
        <w:ind w:left="720"/>
        <w:contextualSpacing/>
        <w:rPr>
          <w:rFonts w:ascii="Garamond" w:hAnsi="Garamond"/>
          <w:color w:val="FF0000"/>
          <w:sz w:val="24"/>
          <w:szCs w:val="24"/>
        </w:rPr>
      </w:pPr>
      <w:r w:rsidRPr="00BD7256">
        <w:rPr>
          <w:rFonts w:ascii="Garamond" w:hAnsi="Garamond"/>
          <w:color w:val="FF0000"/>
          <w:sz w:val="24"/>
          <w:szCs w:val="24"/>
        </w:rPr>
        <w:lastRenderedPageBreak/>
        <w:t xml:space="preserve"> </w:t>
      </w:r>
    </w:p>
    <w:p w14:paraId="731327F3" w14:textId="77777777" w:rsidR="00F57301" w:rsidRPr="00491BA6" w:rsidRDefault="00F57301">
      <w:pPr>
        <w:rPr>
          <w:rFonts w:ascii="Garamond" w:hAnsi="Garamond"/>
          <w:b/>
          <w:sz w:val="24"/>
          <w:szCs w:val="24"/>
        </w:rPr>
      </w:pPr>
    </w:p>
    <w:p w14:paraId="40F077BC" w14:textId="77777777" w:rsidR="00F57301" w:rsidRPr="00491BA6" w:rsidRDefault="00041C9A">
      <w:pPr>
        <w:rPr>
          <w:rFonts w:ascii="Garamond" w:hAnsi="Garamond"/>
          <w:b/>
          <w:sz w:val="24"/>
          <w:szCs w:val="24"/>
        </w:rPr>
      </w:pPr>
      <w:r w:rsidRPr="00491BA6">
        <w:rPr>
          <w:rFonts w:ascii="Garamond" w:hAnsi="Garamond"/>
          <w:b/>
          <w:sz w:val="24"/>
          <w:szCs w:val="24"/>
        </w:rPr>
        <w:t>Financial Consultants / Advisors</w:t>
      </w:r>
    </w:p>
    <w:p w14:paraId="642E34D9" w14:textId="683E90E2" w:rsidR="00F57301" w:rsidRPr="002E2FA9" w:rsidRDefault="00041C9A" w:rsidP="00110365">
      <w:pPr>
        <w:pStyle w:val="ListParagraph"/>
        <w:numPr>
          <w:ilvl w:val="0"/>
          <w:numId w:val="7"/>
        </w:numPr>
        <w:ind w:left="720"/>
        <w:rPr>
          <w:rFonts w:ascii="Garamond" w:hAnsi="Garamond"/>
          <w:sz w:val="24"/>
          <w:szCs w:val="24"/>
        </w:rPr>
      </w:pPr>
      <w:r w:rsidRPr="002E2FA9">
        <w:rPr>
          <w:rFonts w:ascii="Garamond" w:hAnsi="Garamond"/>
          <w:sz w:val="24"/>
          <w:szCs w:val="24"/>
        </w:rPr>
        <w:t xml:space="preserve">Please identify all consultants and advisors used by the system, the services they provide, the managers they oversee, the date </w:t>
      </w:r>
      <w:r w:rsidR="00221B4B" w:rsidRPr="002E2FA9">
        <w:rPr>
          <w:rFonts w:ascii="Garamond" w:hAnsi="Garamond"/>
          <w:sz w:val="24"/>
          <w:szCs w:val="24"/>
        </w:rPr>
        <w:t xml:space="preserve">of </w:t>
      </w:r>
      <w:r w:rsidRPr="002E2FA9">
        <w:rPr>
          <w:rFonts w:ascii="Garamond" w:hAnsi="Garamond"/>
          <w:sz w:val="24"/>
          <w:szCs w:val="24"/>
        </w:rPr>
        <w:t>and a copy of their last presentation to the system, and their costs.</w:t>
      </w:r>
    </w:p>
    <w:p w14:paraId="5BAE4298" w14:textId="77777777" w:rsidR="00BD7256" w:rsidRDefault="00BD7256" w:rsidP="00BD7256">
      <w:pPr>
        <w:contextualSpacing/>
        <w:rPr>
          <w:rFonts w:ascii="Garamond" w:hAnsi="Garamond"/>
          <w:sz w:val="24"/>
          <w:szCs w:val="24"/>
        </w:rPr>
      </w:pPr>
    </w:p>
    <w:tbl>
      <w:tblPr>
        <w:tblStyle w:val="TableGrid"/>
        <w:tblW w:w="9445" w:type="dxa"/>
        <w:tblLook w:val="04A0" w:firstRow="1" w:lastRow="0" w:firstColumn="1" w:lastColumn="0" w:noHBand="0" w:noVBand="1"/>
      </w:tblPr>
      <w:tblGrid>
        <w:gridCol w:w="2605"/>
        <w:gridCol w:w="5040"/>
        <w:gridCol w:w="1800"/>
      </w:tblGrid>
      <w:tr w:rsidR="00B83976" w:rsidRPr="00B83976" w14:paraId="5B4B19C0" w14:textId="77777777" w:rsidTr="0039218E">
        <w:tc>
          <w:tcPr>
            <w:tcW w:w="2605" w:type="dxa"/>
          </w:tcPr>
          <w:p w14:paraId="473DB249" w14:textId="77777777" w:rsidR="0039218E" w:rsidRPr="00B83976" w:rsidRDefault="0039218E" w:rsidP="00BD7256">
            <w:pPr>
              <w:contextualSpacing/>
              <w:rPr>
                <w:rFonts w:ascii="Garamond" w:hAnsi="Garamond"/>
                <w:color w:val="FF0000"/>
                <w:sz w:val="24"/>
                <w:szCs w:val="24"/>
              </w:rPr>
            </w:pPr>
            <w:r w:rsidRPr="00B83976">
              <w:rPr>
                <w:rFonts w:ascii="Garamond" w:hAnsi="Garamond"/>
                <w:color w:val="FF0000"/>
                <w:sz w:val="24"/>
                <w:szCs w:val="24"/>
              </w:rPr>
              <w:t>Consultant Name</w:t>
            </w:r>
          </w:p>
        </w:tc>
        <w:tc>
          <w:tcPr>
            <w:tcW w:w="5040" w:type="dxa"/>
          </w:tcPr>
          <w:p w14:paraId="24ED7808" w14:textId="77777777" w:rsidR="0039218E" w:rsidRPr="00B83976" w:rsidRDefault="0039218E" w:rsidP="00BD7256">
            <w:pPr>
              <w:contextualSpacing/>
              <w:rPr>
                <w:rFonts w:ascii="Garamond" w:hAnsi="Garamond"/>
                <w:color w:val="FF0000"/>
                <w:sz w:val="24"/>
                <w:szCs w:val="24"/>
              </w:rPr>
            </w:pPr>
            <w:r w:rsidRPr="00B83976">
              <w:rPr>
                <w:rFonts w:ascii="Garamond" w:hAnsi="Garamond"/>
                <w:color w:val="FF0000"/>
                <w:sz w:val="24"/>
                <w:szCs w:val="24"/>
              </w:rPr>
              <w:t>Description of Services</w:t>
            </w:r>
          </w:p>
        </w:tc>
        <w:tc>
          <w:tcPr>
            <w:tcW w:w="1800" w:type="dxa"/>
          </w:tcPr>
          <w:p w14:paraId="452298C2" w14:textId="77777777" w:rsidR="0039218E" w:rsidRPr="00B83976" w:rsidRDefault="0039218E" w:rsidP="00BD7256">
            <w:pPr>
              <w:contextualSpacing/>
              <w:rPr>
                <w:rFonts w:ascii="Garamond" w:hAnsi="Garamond"/>
                <w:color w:val="FF0000"/>
                <w:sz w:val="24"/>
                <w:szCs w:val="24"/>
              </w:rPr>
            </w:pPr>
            <w:r w:rsidRPr="00B83976">
              <w:rPr>
                <w:rFonts w:ascii="Garamond" w:hAnsi="Garamond"/>
                <w:color w:val="FF0000"/>
                <w:sz w:val="24"/>
                <w:szCs w:val="24"/>
              </w:rPr>
              <w:t>2017 Fee</w:t>
            </w:r>
          </w:p>
        </w:tc>
      </w:tr>
      <w:tr w:rsidR="00B83976" w:rsidRPr="00B83976" w14:paraId="0852ECE1" w14:textId="77777777" w:rsidTr="0039218E">
        <w:tc>
          <w:tcPr>
            <w:tcW w:w="2605" w:type="dxa"/>
          </w:tcPr>
          <w:p w14:paraId="6B27BB55" w14:textId="7C8C2C07" w:rsidR="0039218E" w:rsidRPr="00B83976" w:rsidRDefault="002016F8" w:rsidP="00BD7256">
            <w:pPr>
              <w:contextualSpacing/>
              <w:rPr>
                <w:rFonts w:ascii="Garamond" w:hAnsi="Garamond"/>
                <w:color w:val="FF0000"/>
                <w:sz w:val="24"/>
                <w:szCs w:val="24"/>
              </w:rPr>
            </w:pPr>
            <w:r>
              <w:rPr>
                <w:rFonts w:ascii="Garamond" w:hAnsi="Garamond"/>
                <w:color w:val="FF0000"/>
                <w:sz w:val="24"/>
                <w:szCs w:val="24"/>
              </w:rPr>
              <w:t>RVK, Inc.</w:t>
            </w:r>
          </w:p>
        </w:tc>
        <w:tc>
          <w:tcPr>
            <w:tcW w:w="5040" w:type="dxa"/>
          </w:tcPr>
          <w:p w14:paraId="6E4A8AE3" w14:textId="5FCF0041" w:rsidR="0039218E" w:rsidRPr="00B83976" w:rsidRDefault="00C63292" w:rsidP="00BD7256">
            <w:pPr>
              <w:contextualSpacing/>
              <w:rPr>
                <w:rFonts w:ascii="Garamond" w:hAnsi="Garamond"/>
                <w:color w:val="FF0000"/>
                <w:sz w:val="24"/>
                <w:szCs w:val="24"/>
              </w:rPr>
            </w:pPr>
            <w:r>
              <w:rPr>
                <w:rFonts w:ascii="Garamond" w:hAnsi="Garamond"/>
                <w:color w:val="FF0000"/>
                <w:sz w:val="24"/>
                <w:szCs w:val="24"/>
              </w:rPr>
              <w:t>General Investment c</w:t>
            </w:r>
            <w:r w:rsidR="0039218E" w:rsidRPr="00B83976">
              <w:rPr>
                <w:rFonts w:ascii="Garamond" w:hAnsi="Garamond"/>
                <w:color w:val="FF0000"/>
                <w:sz w:val="24"/>
                <w:szCs w:val="24"/>
              </w:rPr>
              <w:t xml:space="preserve">onsultant </w:t>
            </w:r>
            <w:r w:rsidR="00C14F88" w:rsidRPr="00B83976">
              <w:rPr>
                <w:rFonts w:ascii="Garamond" w:hAnsi="Garamond"/>
                <w:color w:val="FF0000"/>
                <w:sz w:val="24"/>
                <w:szCs w:val="24"/>
              </w:rPr>
              <w:t xml:space="preserve">which </w:t>
            </w:r>
            <w:r w:rsidR="0039218E" w:rsidRPr="00B83976">
              <w:rPr>
                <w:rFonts w:ascii="Garamond" w:hAnsi="Garamond"/>
                <w:color w:val="FF0000"/>
                <w:sz w:val="24"/>
                <w:szCs w:val="24"/>
              </w:rPr>
              <w:t xml:space="preserve">advises </w:t>
            </w:r>
            <w:r w:rsidR="008305DC">
              <w:rPr>
                <w:rFonts w:ascii="Garamond" w:hAnsi="Garamond"/>
                <w:color w:val="FF0000"/>
                <w:sz w:val="24"/>
                <w:szCs w:val="24"/>
              </w:rPr>
              <w:t>the</w:t>
            </w:r>
            <w:r w:rsidR="008305DC" w:rsidRPr="00B83976">
              <w:rPr>
                <w:rFonts w:ascii="Garamond" w:hAnsi="Garamond"/>
                <w:color w:val="FF0000"/>
                <w:sz w:val="24"/>
                <w:szCs w:val="24"/>
              </w:rPr>
              <w:t xml:space="preserve"> </w:t>
            </w:r>
            <w:r w:rsidR="0039218E" w:rsidRPr="00B83976">
              <w:rPr>
                <w:rFonts w:ascii="Garamond" w:hAnsi="Garamond"/>
                <w:color w:val="FF0000"/>
                <w:sz w:val="24"/>
                <w:szCs w:val="24"/>
              </w:rPr>
              <w:t>Board and SERS’ investment staff on investment related matters including but not limited to the biennial strategic plan, asset allocation matters, assist</w:t>
            </w:r>
            <w:r w:rsidR="00B83976">
              <w:rPr>
                <w:rFonts w:ascii="Garamond" w:hAnsi="Garamond"/>
                <w:color w:val="FF0000"/>
                <w:sz w:val="24"/>
                <w:szCs w:val="24"/>
              </w:rPr>
              <w:t>s</w:t>
            </w:r>
            <w:r w:rsidR="0039218E" w:rsidRPr="00B83976">
              <w:rPr>
                <w:rFonts w:ascii="Garamond" w:hAnsi="Garamond"/>
                <w:color w:val="FF0000"/>
                <w:sz w:val="24"/>
                <w:szCs w:val="24"/>
              </w:rPr>
              <w:t xml:space="preserve"> in performing due diligence on public market managers, calculates, prepares and presents quarterly performance reports.</w:t>
            </w:r>
            <w:r w:rsidR="00231D41">
              <w:rPr>
                <w:rFonts w:ascii="Garamond" w:hAnsi="Garamond"/>
                <w:color w:val="FF0000"/>
                <w:sz w:val="24"/>
                <w:szCs w:val="24"/>
              </w:rPr>
              <w:t xml:space="preserve">  Please see </w:t>
            </w:r>
            <w:r w:rsidR="00EB5C07">
              <w:rPr>
                <w:rFonts w:ascii="Garamond" w:hAnsi="Garamond"/>
                <w:color w:val="FF0000"/>
                <w:sz w:val="24"/>
                <w:szCs w:val="24"/>
              </w:rPr>
              <w:t xml:space="preserve">the </w:t>
            </w:r>
            <w:r w:rsidR="00231D41">
              <w:rPr>
                <w:rFonts w:ascii="Garamond" w:hAnsi="Garamond"/>
                <w:color w:val="FF0000"/>
                <w:sz w:val="24"/>
                <w:szCs w:val="24"/>
              </w:rPr>
              <w:t xml:space="preserve">attached presentation dated </w:t>
            </w:r>
            <w:r w:rsidR="005C5C4A">
              <w:rPr>
                <w:rFonts w:ascii="Garamond" w:hAnsi="Garamond"/>
                <w:color w:val="FF0000"/>
                <w:sz w:val="24"/>
                <w:szCs w:val="24"/>
              </w:rPr>
              <w:t>March 31, 2018</w:t>
            </w:r>
            <w:r w:rsidR="00231D41">
              <w:rPr>
                <w:rFonts w:ascii="Garamond" w:hAnsi="Garamond"/>
                <w:color w:val="FF0000"/>
                <w:sz w:val="24"/>
                <w:szCs w:val="24"/>
              </w:rPr>
              <w:t>.</w:t>
            </w:r>
          </w:p>
        </w:tc>
        <w:tc>
          <w:tcPr>
            <w:tcW w:w="1800" w:type="dxa"/>
          </w:tcPr>
          <w:p w14:paraId="3CBF0C98" w14:textId="77777777" w:rsidR="0039218E" w:rsidRPr="00B83976" w:rsidRDefault="00C14F88" w:rsidP="00BD7256">
            <w:pPr>
              <w:contextualSpacing/>
              <w:rPr>
                <w:rFonts w:ascii="Garamond" w:hAnsi="Garamond"/>
                <w:color w:val="FF0000"/>
                <w:sz w:val="24"/>
                <w:szCs w:val="24"/>
              </w:rPr>
            </w:pPr>
            <w:r w:rsidRPr="00B83976">
              <w:rPr>
                <w:rFonts w:ascii="Garamond" w:hAnsi="Garamond"/>
                <w:color w:val="FF0000"/>
                <w:sz w:val="24"/>
                <w:szCs w:val="24"/>
              </w:rPr>
              <w:t>$</w:t>
            </w:r>
            <w:r w:rsidR="00EA5DDA" w:rsidRPr="00B83976">
              <w:rPr>
                <w:rFonts w:ascii="Garamond" w:hAnsi="Garamond"/>
                <w:color w:val="FF0000"/>
                <w:sz w:val="24"/>
                <w:szCs w:val="24"/>
              </w:rPr>
              <w:t>707,000</w:t>
            </w:r>
          </w:p>
        </w:tc>
      </w:tr>
      <w:tr w:rsidR="00B83976" w:rsidRPr="00B83976" w14:paraId="40AECDC1" w14:textId="77777777" w:rsidTr="00C63292">
        <w:trPr>
          <w:trHeight w:val="3383"/>
        </w:trPr>
        <w:tc>
          <w:tcPr>
            <w:tcW w:w="2605" w:type="dxa"/>
          </w:tcPr>
          <w:p w14:paraId="7056160E" w14:textId="77777777" w:rsidR="0039218E" w:rsidRPr="00B83976" w:rsidRDefault="00275691" w:rsidP="00BD7256">
            <w:pPr>
              <w:contextualSpacing/>
              <w:rPr>
                <w:rFonts w:ascii="Garamond" w:hAnsi="Garamond"/>
                <w:color w:val="FF0000"/>
                <w:sz w:val="24"/>
                <w:szCs w:val="24"/>
              </w:rPr>
            </w:pPr>
            <w:r w:rsidRPr="00B83976">
              <w:rPr>
                <w:rFonts w:ascii="Garamond" w:hAnsi="Garamond"/>
                <w:color w:val="FF0000"/>
                <w:sz w:val="24"/>
                <w:szCs w:val="24"/>
              </w:rPr>
              <w:t>StepStone</w:t>
            </w:r>
            <w:r w:rsidR="002016F8">
              <w:rPr>
                <w:rFonts w:ascii="Garamond" w:hAnsi="Garamond"/>
                <w:color w:val="FF0000"/>
                <w:sz w:val="24"/>
                <w:szCs w:val="24"/>
              </w:rPr>
              <w:t xml:space="preserve"> Group LLC</w:t>
            </w:r>
          </w:p>
        </w:tc>
        <w:tc>
          <w:tcPr>
            <w:tcW w:w="5040" w:type="dxa"/>
          </w:tcPr>
          <w:p w14:paraId="44BD809D" w14:textId="0AB5309D" w:rsidR="000039EA" w:rsidRPr="00B83976" w:rsidRDefault="00C63292" w:rsidP="00BD7256">
            <w:pPr>
              <w:contextualSpacing/>
              <w:rPr>
                <w:rFonts w:ascii="Garamond" w:hAnsi="Garamond"/>
                <w:color w:val="FF0000"/>
                <w:sz w:val="24"/>
                <w:szCs w:val="24"/>
              </w:rPr>
            </w:pPr>
            <w:r>
              <w:rPr>
                <w:rFonts w:ascii="Garamond" w:hAnsi="Garamond"/>
                <w:color w:val="FF0000"/>
                <w:sz w:val="24"/>
                <w:szCs w:val="24"/>
              </w:rPr>
              <w:t>Private Equity</w:t>
            </w:r>
            <w:r w:rsidR="000B3BF2" w:rsidRPr="00B83976">
              <w:rPr>
                <w:rFonts w:ascii="Garamond" w:hAnsi="Garamond"/>
                <w:color w:val="FF0000"/>
                <w:sz w:val="24"/>
                <w:szCs w:val="24"/>
              </w:rPr>
              <w:t xml:space="preserve"> </w:t>
            </w:r>
            <w:r>
              <w:rPr>
                <w:rFonts w:ascii="Garamond" w:hAnsi="Garamond"/>
                <w:color w:val="FF0000"/>
                <w:sz w:val="24"/>
                <w:szCs w:val="24"/>
              </w:rPr>
              <w:t>c</w:t>
            </w:r>
            <w:r w:rsidR="000B3BF2" w:rsidRPr="00B83976">
              <w:rPr>
                <w:rFonts w:ascii="Garamond" w:hAnsi="Garamond"/>
                <w:color w:val="FF0000"/>
                <w:sz w:val="24"/>
                <w:szCs w:val="24"/>
              </w:rPr>
              <w:t xml:space="preserve">onsultant which advises </w:t>
            </w:r>
            <w:r w:rsidR="008305DC">
              <w:rPr>
                <w:rFonts w:ascii="Garamond" w:hAnsi="Garamond"/>
                <w:color w:val="FF0000"/>
                <w:sz w:val="24"/>
                <w:szCs w:val="24"/>
              </w:rPr>
              <w:t>the</w:t>
            </w:r>
            <w:r w:rsidR="008305DC" w:rsidRPr="00B83976">
              <w:rPr>
                <w:rFonts w:ascii="Garamond" w:hAnsi="Garamond"/>
                <w:color w:val="FF0000"/>
                <w:sz w:val="24"/>
                <w:szCs w:val="24"/>
              </w:rPr>
              <w:t xml:space="preserve"> </w:t>
            </w:r>
            <w:r w:rsidR="000B3BF2" w:rsidRPr="00B83976">
              <w:rPr>
                <w:rFonts w:ascii="Garamond" w:hAnsi="Garamond"/>
                <w:color w:val="FF0000"/>
                <w:sz w:val="24"/>
                <w:szCs w:val="24"/>
              </w:rPr>
              <w:t xml:space="preserve">Board and SERS’ investment staff on investment related matters </w:t>
            </w:r>
            <w:r w:rsidR="000039EA" w:rsidRPr="00B83976">
              <w:rPr>
                <w:rFonts w:ascii="Garamond" w:hAnsi="Garamond"/>
                <w:color w:val="FF0000"/>
                <w:sz w:val="24"/>
                <w:szCs w:val="24"/>
              </w:rPr>
              <w:t>relating</w:t>
            </w:r>
            <w:r w:rsidR="000B3BF2" w:rsidRPr="00B83976">
              <w:rPr>
                <w:rFonts w:ascii="Garamond" w:hAnsi="Garamond"/>
                <w:color w:val="FF0000"/>
                <w:sz w:val="24"/>
                <w:szCs w:val="24"/>
              </w:rPr>
              <w:t xml:space="preserve"> to </w:t>
            </w:r>
            <w:r>
              <w:rPr>
                <w:rFonts w:ascii="Garamond" w:hAnsi="Garamond"/>
                <w:color w:val="FF0000"/>
                <w:sz w:val="24"/>
                <w:szCs w:val="24"/>
              </w:rPr>
              <w:t>private equity</w:t>
            </w:r>
            <w:r w:rsidR="000B3BF2" w:rsidRPr="00B83976">
              <w:rPr>
                <w:rFonts w:ascii="Garamond" w:hAnsi="Garamond"/>
                <w:color w:val="FF0000"/>
                <w:sz w:val="24"/>
                <w:szCs w:val="24"/>
              </w:rPr>
              <w:t xml:space="preserve"> investments including but not limited to performing continuous due diligence on prospective </w:t>
            </w:r>
            <w:r>
              <w:rPr>
                <w:rFonts w:ascii="Garamond" w:hAnsi="Garamond"/>
                <w:color w:val="FF0000"/>
                <w:sz w:val="24"/>
                <w:szCs w:val="24"/>
              </w:rPr>
              <w:t>private equity</w:t>
            </w:r>
            <w:r w:rsidR="000B3BF2" w:rsidRPr="00B83976">
              <w:rPr>
                <w:rFonts w:ascii="Garamond" w:hAnsi="Garamond"/>
                <w:color w:val="FF0000"/>
                <w:sz w:val="24"/>
                <w:szCs w:val="24"/>
              </w:rPr>
              <w:t xml:space="preserve"> </w:t>
            </w:r>
            <w:r w:rsidR="000039EA" w:rsidRPr="00B83976">
              <w:rPr>
                <w:rFonts w:ascii="Garamond" w:hAnsi="Garamond"/>
                <w:color w:val="FF0000"/>
                <w:sz w:val="24"/>
                <w:szCs w:val="24"/>
              </w:rPr>
              <w:t>funds</w:t>
            </w:r>
            <w:r w:rsidR="000B3BF2" w:rsidRPr="00B83976">
              <w:rPr>
                <w:rFonts w:ascii="Garamond" w:hAnsi="Garamond"/>
                <w:color w:val="FF0000"/>
                <w:sz w:val="24"/>
                <w:szCs w:val="24"/>
              </w:rPr>
              <w:t xml:space="preserve">, recommend top-tier </w:t>
            </w:r>
            <w:r>
              <w:rPr>
                <w:rFonts w:ascii="Garamond" w:hAnsi="Garamond"/>
                <w:color w:val="FF0000"/>
                <w:sz w:val="24"/>
                <w:szCs w:val="24"/>
              </w:rPr>
              <w:t>private equity</w:t>
            </w:r>
            <w:r w:rsidR="000039EA" w:rsidRPr="00B83976">
              <w:rPr>
                <w:rFonts w:ascii="Garamond" w:hAnsi="Garamond"/>
                <w:color w:val="FF0000"/>
                <w:sz w:val="24"/>
                <w:szCs w:val="24"/>
              </w:rPr>
              <w:t xml:space="preserve"> funds</w:t>
            </w:r>
            <w:r w:rsidR="000B3BF2" w:rsidRPr="00B83976">
              <w:rPr>
                <w:rFonts w:ascii="Garamond" w:hAnsi="Garamond"/>
                <w:color w:val="FF0000"/>
                <w:sz w:val="24"/>
                <w:szCs w:val="24"/>
              </w:rPr>
              <w:t xml:space="preserve">, provide on at least a semi-annual basis a performance review of SERS’ </w:t>
            </w:r>
            <w:r>
              <w:rPr>
                <w:rFonts w:ascii="Garamond" w:hAnsi="Garamond"/>
                <w:color w:val="FF0000"/>
                <w:sz w:val="24"/>
                <w:szCs w:val="24"/>
              </w:rPr>
              <w:t>private equity</w:t>
            </w:r>
            <w:r w:rsidR="000B3BF2" w:rsidRPr="00B83976">
              <w:rPr>
                <w:rFonts w:ascii="Garamond" w:hAnsi="Garamond"/>
                <w:color w:val="FF0000"/>
                <w:sz w:val="24"/>
                <w:szCs w:val="24"/>
              </w:rPr>
              <w:t xml:space="preserve"> portfolio.</w:t>
            </w:r>
            <w:r w:rsidR="000039EA" w:rsidRPr="00B83976">
              <w:rPr>
                <w:rFonts w:ascii="Garamond" w:hAnsi="Garamond"/>
                <w:color w:val="FF0000"/>
                <w:sz w:val="24"/>
                <w:szCs w:val="24"/>
              </w:rPr>
              <w:t xml:space="preserve">  StepStone also provides back-office support for SERS’ private market managers.</w:t>
            </w:r>
            <w:r w:rsidR="003A209E">
              <w:rPr>
                <w:rFonts w:ascii="Garamond" w:hAnsi="Garamond"/>
                <w:color w:val="FF0000"/>
                <w:sz w:val="24"/>
                <w:szCs w:val="24"/>
              </w:rPr>
              <w:t xml:space="preserve"> Please see</w:t>
            </w:r>
            <w:r w:rsidR="00E22A30">
              <w:rPr>
                <w:rFonts w:ascii="Garamond" w:hAnsi="Garamond"/>
                <w:color w:val="FF0000"/>
                <w:sz w:val="24"/>
                <w:szCs w:val="24"/>
              </w:rPr>
              <w:t xml:space="preserve"> the</w:t>
            </w:r>
            <w:r w:rsidR="003A209E">
              <w:rPr>
                <w:rFonts w:ascii="Garamond" w:hAnsi="Garamond"/>
                <w:color w:val="FF0000"/>
                <w:sz w:val="24"/>
                <w:szCs w:val="24"/>
              </w:rPr>
              <w:t xml:space="preserve"> attached</w:t>
            </w:r>
            <w:r w:rsidR="00EB5C07">
              <w:rPr>
                <w:rFonts w:ascii="Garamond" w:hAnsi="Garamond"/>
                <w:color w:val="FF0000"/>
                <w:sz w:val="24"/>
                <w:szCs w:val="24"/>
              </w:rPr>
              <w:t xml:space="preserve"> </w:t>
            </w:r>
            <w:r w:rsidR="003A209E">
              <w:rPr>
                <w:rFonts w:ascii="Garamond" w:hAnsi="Garamond"/>
                <w:color w:val="FF0000"/>
                <w:sz w:val="24"/>
                <w:szCs w:val="24"/>
              </w:rPr>
              <w:t>presentation dated June 30 2017.</w:t>
            </w:r>
            <w:r w:rsidR="002E2FA9">
              <w:rPr>
                <w:rFonts w:ascii="Garamond" w:hAnsi="Garamond"/>
                <w:color w:val="FF0000"/>
                <w:sz w:val="24"/>
                <w:szCs w:val="24"/>
                <w:vertAlign w:val="superscript"/>
              </w:rPr>
              <w:t>2</w:t>
            </w:r>
          </w:p>
          <w:p w14:paraId="34FBF170" w14:textId="77777777" w:rsidR="000039EA" w:rsidRPr="00B83976" w:rsidRDefault="000039EA" w:rsidP="00BD7256">
            <w:pPr>
              <w:contextualSpacing/>
              <w:rPr>
                <w:rFonts w:ascii="Garamond" w:hAnsi="Garamond"/>
                <w:color w:val="FF0000"/>
                <w:sz w:val="24"/>
                <w:szCs w:val="24"/>
              </w:rPr>
            </w:pPr>
          </w:p>
        </w:tc>
        <w:tc>
          <w:tcPr>
            <w:tcW w:w="1800" w:type="dxa"/>
          </w:tcPr>
          <w:p w14:paraId="406A14DA" w14:textId="77777777" w:rsidR="0039218E" w:rsidRPr="00B83976" w:rsidRDefault="000039EA" w:rsidP="00BD7256">
            <w:pPr>
              <w:contextualSpacing/>
              <w:rPr>
                <w:rFonts w:ascii="Garamond" w:hAnsi="Garamond"/>
                <w:color w:val="FF0000"/>
                <w:sz w:val="24"/>
                <w:szCs w:val="24"/>
              </w:rPr>
            </w:pPr>
            <w:r w:rsidRPr="00B83976">
              <w:rPr>
                <w:rFonts w:ascii="Garamond" w:hAnsi="Garamond"/>
                <w:color w:val="FF0000"/>
                <w:sz w:val="24"/>
                <w:szCs w:val="24"/>
              </w:rPr>
              <w:t>$1,975,000</w:t>
            </w:r>
          </w:p>
        </w:tc>
      </w:tr>
      <w:tr w:rsidR="00B83976" w:rsidRPr="00B83976" w14:paraId="611E0E5E" w14:textId="77777777" w:rsidTr="0039218E">
        <w:tc>
          <w:tcPr>
            <w:tcW w:w="2605" w:type="dxa"/>
          </w:tcPr>
          <w:p w14:paraId="0D1847CC" w14:textId="77777777" w:rsidR="0039218E" w:rsidRPr="00B83976" w:rsidRDefault="00C14F88" w:rsidP="00BD7256">
            <w:pPr>
              <w:contextualSpacing/>
              <w:rPr>
                <w:rFonts w:ascii="Garamond" w:hAnsi="Garamond"/>
                <w:color w:val="FF0000"/>
                <w:sz w:val="24"/>
                <w:szCs w:val="24"/>
              </w:rPr>
            </w:pPr>
            <w:r w:rsidRPr="00B83976">
              <w:rPr>
                <w:rFonts w:ascii="Garamond" w:hAnsi="Garamond"/>
                <w:color w:val="FF0000"/>
                <w:sz w:val="24"/>
                <w:szCs w:val="24"/>
              </w:rPr>
              <w:t>NEPC,</w:t>
            </w:r>
            <w:r w:rsidR="00E94A16">
              <w:rPr>
                <w:rFonts w:ascii="Garamond" w:hAnsi="Garamond"/>
                <w:color w:val="FF0000"/>
                <w:sz w:val="24"/>
                <w:szCs w:val="24"/>
              </w:rPr>
              <w:t xml:space="preserve"> </w:t>
            </w:r>
            <w:r w:rsidRPr="00B83976">
              <w:rPr>
                <w:rFonts w:ascii="Garamond" w:hAnsi="Garamond"/>
                <w:color w:val="FF0000"/>
                <w:sz w:val="24"/>
                <w:szCs w:val="24"/>
              </w:rPr>
              <w:t>LLC</w:t>
            </w:r>
          </w:p>
        </w:tc>
        <w:tc>
          <w:tcPr>
            <w:tcW w:w="5040" w:type="dxa"/>
          </w:tcPr>
          <w:p w14:paraId="7787190D" w14:textId="0559B809" w:rsidR="0039218E" w:rsidRPr="00B83976" w:rsidRDefault="00C63292" w:rsidP="00BD7256">
            <w:pPr>
              <w:contextualSpacing/>
              <w:rPr>
                <w:rFonts w:ascii="Garamond" w:hAnsi="Garamond"/>
                <w:color w:val="FF0000"/>
                <w:sz w:val="24"/>
                <w:szCs w:val="24"/>
              </w:rPr>
            </w:pPr>
            <w:r>
              <w:rPr>
                <w:rFonts w:ascii="Garamond" w:hAnsi="Garamond"/>
                <w:color w:val="FF0000"/>
                <w:sz w:val="24"/>
                <w:szCs w:val="24"/>
              </w:rPr>
              <w:t>Real Estate c</w:t>
            </w:r>
            <w:r w:rsidR="00C14F88" w:rsidRPr="00B83976">
              <w:rPr>
                <w:rFonts w:ascii="Garamond" w:hAnsi="Garamond"/>
                <w:color w:val="FF0000"/>
                <w:sz w:val="24"/>
                <w:szCs w:val="24"/>
              </w:rPr>
              <w:t xml:space="preserve">onsultant which advises </w:t>
            </w:r>
            <w:r w:rsidR="008305DC">
              <w:rPr>
                <w:rFonts w:ascii="Garamond" w:hAnsi="Garamond"/>
                <w:color w:val="FF0000"/>
                <w:sz w:val="24"/>
                <w:szCs w:val="24"/>
              </w:rPr>
              <w:t xml:space="preserve">the </w:t>
            </w:r>
            <w:r w:rsidR="00C14F88" w:rsidRPr="00B83976">
              <w:rPr>
                <w:rFonts w:ascii="Garamond" w:hAnsi="Garamond"/>
                <w:color w:val="FF0000"/>
                <w:sz w:val="24"/>
                <w:szCs w:val="24"/>
              </w:rPr>
              <w:t>Board and SERS’ investment staff on investment related matters relating to real estate investments such as but not limited to performing continuous due diligence on prospective real estate related opportunities,</w:t>
            </w:r>
            <w:r w:rsidR="00003EC5" w:rsidRPr="00B83976">
              <w:rPr>
                <w:rFonts w:ascii="Garamond" w:hAnsi="Garamond"/>
                <w:color w:val="FF0000"/>
                <w:sz w:val="24"/>
                <w:szCs w:val="24"/>
              </w:rPr>
              <w:t xml:space="preserve"> recommend top-tier real estate and real estate related investments, provide on at least a semi-annual basis a performance review of SERS’ real estate portfolio.</w:t>
            </w:r>
            <w:r w:rsidR="00792B35">
              <w:rPr>
                <w:rFonts w:ascii="Garamond" w:hAnsi="Garamond"/>
                <w:color w:val="FF0000"/>
                <w:sz w:val="24"/>
                <w:szCs w:val="24"/>
              </w:rPr>
              <w:t xml:space="preserve">  Please see </w:t>
            </w:r>
            <w:r w:rsidR="00E22A30">
              <w:rPr>
                <w:rFonts w:ascii="Garamond" w:hAnsi="Garamond"/>
                <w:color w:val="FF0000"/>
                <w:sz w:val="24"/>
                <w:szCs w:val="24"/>
              </w:rPr>
              <w:t xml:space="preserve">the </w:t>
            </w:r>
            <w:r w:rsidR="00792B35">
              <w:rPr>
                <w:rFonts w:ascii="Garamond" w:hAnsi="Garamond"/>
                <w:color w:val="FF0000"/>
                <w:sz w:val="24"/>
                <w:szCs w:val="24"/>
              </w:rPr>
              <w:t>attached presentation dated January 31, 2018.</w:t>
            </w:r>
            <w:r w:rsidR="002E2FA9">
              <w:rPr>
                <w:rFonts w:ascii="Garamond" w:hAnsi="Garamond"/>
                <w:color w:val="FF0000"/>
                <w:sz w:val="24"/>
                <w:szCs w:val="24"/>
                <w:vertAlign w:val="superscript"/>
              </w:rPr>
              <w:t>3</w:t>
            </w:r>
          </w:p>
        </w:tc>
        <w:tc>
          <w:tcPr>
            <w:tcW w:w="1800" w:type="dxa"/>
          </w:tcPr>
          <w:p w14:paraId="14D8ED8E" w14:textId="77777777" w:rsidR="0039218E" w:rsidRPr="00B83976" w:rsidRDefault="00275691" w:rsidP="00BD7256">
            <w:pPr>
              <w:contextualSpacing/>
              <w:rPr>
                <w:rFonts w:ascii="Garamond" w:hAnsi="Garamond"/>
                <w:color w:val="FF0000"/>
                <w:sz w:val="24"/>
                <w:szCs w:val="24"/>
              </w:rPr>
            </w:pPr>
            <w:r w:rsidRPr="00B83976">
              <w:rPr>
                <w:rFonts w:ascii="Garamond" w:hAnsi="Garamond"/>
                <w:color w:val="FF0000"/>
                <w:sz w:val="24"/>
                <w:szCs w:val="24"/>
              </w:rPr>
              <w:t>$291,</w:t>
            </w:r>
            <w:r w:rsidR="00B83976" w:rsidRPr="00B83976">
              <w:rPr>
                <w:rFonts w:ascii="Garamond" w:hAnsi="Garamond"/>
                <w:color w:val="FF0000"/>
                <w:sz w:val="24"/>
                <w:szCs w:val="24"/>
              </w:rPr>
              <w:t>000</w:t>
            </w:r>
          </w:p>
        </w:tc>
      </w:tr>
      <w:tr w:rsidR="00B83976" w:rsidRPr="00B83976" w14:paraId="10DEA9DB" w14:textId="77777777" w:rsidTr="00B20B47">
        <w:trPr>
          <w:trHeight w:val="1133"/>
        </w:trPr>
        <w:tc>
          <w:tcPr>
            <w:tcW w:w="2605" w:type="dxa"/>
          </w:tcPr>
          <w:p w14:paraId="11746AEE" w14:textId="77777777" w:rsidR="0039218E" w:rsidRPr="00B83976" w:rsidRDefault="00C34C59" w:rsidP="00BD7256">
            <w:pPr>
              <w:contextualSpacing/>
              <w:rPr>
                <w:rFonts w:ascii="Garamond" w:hAnsi="Garamond"/>
                <w:color w:val="FF0000"/>
                <w:sz w:val="24"/>
                <w:szCs w:val="24"/>
              </w:rPr>
            </w:pPr>
            <w:r w:rsidRPr="00B83976">
              <w:rPr>
                <w:rFonts w:ascii="Garamond" w:hAnsi="Garamond"/>
                <w:color w:val="FF0000"/>
                <w:sz w:val="24"/>
                <w:szCs w:val="24"/>
              </w:rPr>
              <w:t xml:space="preserve">GCM Customized </w:t>
            </w:r>
            <w:r w:rsidR="003431C1">
              <w:rPr>
                <w:rFonts w:ascii="Garamond" w:hAnsi="Garamond"/>
                <w:color w:val="FF0000"/>
                <w:sz w:val="24"/>
                <w:szCs w:val="24"/>
              </w:rPr>
              <w:t xml:space="preserve">Fund </w:t>
            </w:r>
            <w:r w:rsidRPr="00B83976">
              <w:rPr>
                <w:rFonts w:ascii="Garamond" w:hAnsi="Garamond"/>
                <w:color w:val="FF0000"/>
                <w:sz w:val="24"/>
                <w:szCs w:val="24"/>
              </w:rPr>
              <w:t>Investment Group</w:t>
            </w:r>
          </w:p>
        </w:tc>
        <w:tc>
          <w:tcPr>
            <w:tcW w:w="5040" w:type="dxa"/>
          </w:tcPr>
          <w:p w14:paraId="3A36F212" w14:textId="0FF0E560" w:rsidR="0039218E" w:rsidRPr="00B83976" w:rsidRDefault="00C34C59" w:rsidP="00BD7256">
            <w:pPr>
              <w:contextualSpacing/>
              <w:rPr>
                <w:rFonts w:ascii="Garamond" w:hAnsi="Garamond"/>
                <w:color w:val="FF0000"/>
                <w:sz w:val="24"/>
                <w:szCs w:val="24"/>
              </w:rPr>
            </w:pPr>
            <w:r w:rsidRPr="00B83976">
              <w:rPr>
                <w:rFonts w:ascii="Garamond" w:hAnsi="Garamond"/>
                <w:color w:val="FF0000"/>
                <w:sz w:val="24"/>
                <w:szCs w:val="24"/>
              </w:rPr>
              <w:t>Assist in the monitoring of some of SERS’ non-core private equity funds/investments</w:t>
            </w:r>
            <w:r w:rsidR="004E448A">
              <w:rPr>
                <w:rFonts w:ascii="Garamond" w:hAnsi="Garamond"/>
                <w:color w:val="FF0000"/>
                <w:sz w:val="24"/>
                <w:szCs w:val="24"/>
              </w:rPr>
              <w:t>.</w:t>
            </w:r>
            <w:r w:rsidR="0053356A" w:rsidRPr="0053356A">
              <w:rPr>
                <w:rFonts w:ascii="Garamond" w:hAnsi="Garamond"/>
                <w:color w:val="FF0000"/>
                <w:sz w:val="24"/>
                <w:szCs w:val="24"/>
                <w:vertAlign w:val="superscript"/>
              </w:rPr>
              <w:t>4</w:t>
            </w:r>
          </w:p>
        </w:tc>
        <w:tc>
          <w:tcPr>
            <w:tcW w:w="1800" w:type="dxa"/>
          </w:tcPr>
          <w:p w14:paraId="68F16C8F" w14:textId="77777777" w:rsidR="0039218E" w:rsidRPr="00B83976" w:rsidRDefault="007625E3" w:rsidP="00BD7256">
            <w:pPr>
              <w:contextualSpacing/>
              <w:rPr>
                <w:rFonts w:ascii="Garamond" w:hAnsi="Garamond"/>
                <w:color w:val="FF0000"/>
                <w:sz w:val="24"/>
                <w:szCs w:val="24"/>
              </w:rPr>
            </w:pPr>
            <w:r w:rsidRPr="00B83976">
              <w:rPr>
                <w:rFonts w:ascii="Garamond" w:hAnsi="Garamond"/>
                <w:color w:val="FF0000"/>
                <w:sz w:val="24"/>
                <w:szCs w:val="24"/>
              </w:rPr>
              <w:t>$210,000</w:t>
            </w:r>
          </w:p>
        </w:tc>
      </w:tr>
      <w:tr w:rsidR="00B83976" w:rsidRPr="00B83976" w14:paraId="626F8C0F" w14:textId="77777777" w:rsidTr="0039218E">
        <w:tc>
          <w:tcPr>
            <w:tcW w:w="2605" w:type="dxa"/>
          </w:tcPr>
          <w:p w14:paraId="4926EC5B" w14:textId="77777777" w:rsidR="0039218E" w:rsidRPr="00B83976" w:rsidRDefault="007625E3" w:rsidP="00BD7256">
            <w:pPr>
              <w:contextualSpacing/>
              <w:rPr>
                <w:rFonts w:ascii="Garamond" w:hAnsi="Garamond"/>
                <w:color w:val="FF0000"/>
                <w:sz w:val="24"/>
                <w:szCs w:val="24"/>
              </w:rPr>
            </w:pPr>
            <w:r w:rsidRPr="00B83976">
              <w:rPr>
                <w:rFonts w:ascii="Garamond" w:hAnsi="Garamond"/>
                <w:color w:val="FF0000"/>
                <w:sz w:val="24"/>
                <w:szCs w:val="24"/>
              </w:rPr>
              <w:t xml:space="preserve">Abel </w:t>
            </w:r>
            <w:proofErr w:type="spellStart"/>
            <w:r w:rsidRPr="00B83976">
              <w:rPr>
                <w:rFonts w:ascii="Garamond" w:hAnsi="Garamond"/>
                <w:color w:val="FF0000"/>
                <w:sz w:val="24"/>
                <w:szCs w:val="24"/>
              </w:rPr>
              <w:t>Noser</w:t>
            </w:r>
            <w:proofErr w:type="spellEnd"/>
            <w:r w:rsidR="00D75761">
              <w:rPr>
                <w:rFonts w:ascii="Garamond" w:hAnsi="Garamond"/>
                <w:color w:val="FF0000"/>
                <w:sz w:val="24"/>
                <w:szCs w:val="24"/>
              </w:rPr>
              <w:t xml:space="preserve"> Corporation</w:t>
            </w:r>
          </w:p>
        </w:tc>
        <w:tc>
          <w:tcPr>
            <w:tcW w:w="5040" w:type="dxa"/>
          </w:tcPr>
          <w:p w14:paraId="754648EE" w14:textId="4DF9A325" w:rsidR="0039218E" w:rsidRPr="00B83976" w:rsidRDefault="00CD2F4E" w:rsidP="00BD7256">
            <w:pPr>
              <w:contextualSpacing/>
              <w:rPr>
                <w:rFonts w:ascii="Garamond" w:hAnsi="Garamond"/>
                <w:color w:val="FF0000"/>
                <w:sz w:val="24"/>
                <w:szCs w:val="24"/>
              </w:rPr>
            </w:pPr>
            <w:r w:rsidRPr="00B83976">
              <w:rPr>
                <w:rFonts w:ascii="Garamond" w:hAnsi="Garamond"/>
                <w:color w:val="FF0000"/>
                <w:sz w:val="24"/>
                <w:szCs w:val="24"/>
              </w:rPr>
              <w:t xml:space="preserve">Provides post trade cost analysis on SERS’ public market </w:t>
            </w:r>
            <w:r w:rsidR="000D0D51">
              <w:rPr>
                <w:rFonts w:ascii="Garamond" w:hAnsi="Garamond"/>
                <w:color w:val="FF0000"/>
                <w:sz w:val="24"/>
                <w:szCs w:val="24"/>
              </w:rPr>
              <w:t xml:space="preserve">separate account </w:t>
            </w:r>
            <w:r w:rsidRPr="00B83976">
              <w:rPr>
                <w:rFonts w:ascii="Garamond" w:hAnsi="Garamond"/>
                <w:color w:val="FF0000"/>
                <w:sz w:val="24"/>
                <w:szCs w:val="24"/>
              </w:rPr>
              <w:t>managers</w:t>
            </w:r>
            <w:r w:rsidR="00B83976" w:rsidRPr="00B83976">
              <w:rPr>
                <w:rFonts w:ascii="Garamond" w:hAnsi="Garamond"/>
                <w:color w:val="FF0000"/>
                <w:sz w:val="24"/>
                <w:szCs w:val="24"/>
              </w:rPr>
              <w:t xml:space="preserve"> to ensure execution prices received by managers and brokers, as well as all commissions paid are in line with industry and peer standards.</w:t>
            </w:r>
            <w:r w:rsidR="00B20B47">
              <w:rPr>
                <w:rFonts w:ascii="Garamond" w:hAnsi="Garamond"/>
                <w:color w:val="FF0000"/>
                <w:sz w:val="24"/>
                <w:szCs w:val="24"/>
              </w:rPr>
              <w:t xml:space="preserve">  Please see the </w:t>
            </w:r>
            <w:r w:rsidR="00B20B47">
              <w:rPr>
                <w:rFonts w:ascii="Garamond" w:hAnsi="Garamond"/>
                <w:color w:val="FF0000"/>
                <w:sz w:val="24"/>
                <w:szCs w:val="24"/>
              </w:rPr>
              <w:lastRenderedPageBreak/>
              <w:t xml:space="preserve">attached </w:t>
            </w:r>
            <w:r w:rsidR="0060212E">
              <w:rPr>
                <w:rFonts w:ascii="Garamond" w:hAnsi="Garamond"/>
                <w:color w:val="FF0000"/>
                <w:sz w:val="24"/>
                <w:szCs w:val="24"/>
              </w:rPr>
              <w:t>4 Trade Cost Analysis reports dated Q1 2018.</w:t>
            </w:r>
          </w:p>
        </w:tc>
        <w:tc>
          <w:tcPr>
            <w:tcW w:w="1800" w:type="dxa"/>
          </w:tcPr>
          <w:p w14:paraId="2468C58E" w14:textId="77777777" w:rsidR="0039218E" w:rsidRPr="00B83976" w:rsidRDefault="007625E3" w:rsidP="00BD7256">
            <w:pPr>
              <w:contextualSpacing/>
              <w:rPr>
                <w:rFonts w:ascii="Garamond" w:hAnsi="Garamond"/>
                <w:color w:val="FF0000"/>
                <w:sz w:val="24"/>
                <w:szCs w:val="24"/>
              </w:rPr>
            </w:pPr>
            <w:r w:rsidRPr="00B83976">
              <w:rPr>
                <w:rFonts w:ascii="Garamond" w:hAnsi="Garamond"/>
                <w:color w:val="FF0000"/>
                <w:sz w:val="24"/>
                <w:szCs w:val="24"/>
              </w:rPr>
              <w:lastRenderedPageBreak/>
              <w:t>$53,000</w:t>
            </w:r>
          </w:p>
        </w:tc>
      </w:tr>
      <w:tr w:rsidR="00B83976" w:rsidRPr="00B83976" w14:paraId="68C2F7A1" w14:textId="77777777" w:rsidTr="0039218E">
        <w:tc>
          <w:tcPr>
            <w:tcW w:w="2605" w:type="dxa"/>
          </w:tcPr>
          <w:p w14:paraId="6C5D137B" w14:textId="77777777" w:rsidR="0039218E" w:rsidRPr="00B83976" w:rsidRDefault="007625E3" w:rsidP="00BD7256">
            <w:pPr>
              <w:contextualSpacing/>
              <w:rPr>
                <w:rFonts w:ascii="Garamond" w:hAnsi="Garamond"/>
                <w:color w:val="FF0000"/>
                <w:sz w:val="24"/>
                <w:szCs w:val="24"/>
              </w:rPr>
            </w:pPr>
            <w:r w:rsidRPr="00B83976">
              <w:rPr>
                <w:rFonts w:ascii="Garamond" w:hAnsi="Garamond"/>
                <w:color w:val="FF0000"/>
                <w:sz w:val="24"/>
                <w:szCs w:val="24"/>
              </w:rPr>
              <w:t>Institutional Shareholder Services</w:t>
            </w:r>
            <w:r w:rsidR="006B55D4">
              <w:rPr>
                <w:rFonts w:ascii="Garamond" w:hAnsi="Garamond"/>
                <w:color w:val="FF0000"/>
                <w:sz w:val="24"/>
                <w:szCs w:val="24"/>
              </w:rPr>
              <w:t xml:space="preserve"> Inc.</w:t>
            </w:r>
          </w:p>
        </w:tc>
        <w:tc>
          <w:tcPr>
            <w:tcW w:w="5040" w:type="dxa"/>
          </w:tcPr>
          <w:p w14:paraId="49C15570" w14:textId="4042E82F" w:rsidR="0039218E" w:rsidRPr="00B83976" w:rsidRDefault="007625E3" w:rsidP="00BD7256">
            <w:pPr>
              <w:contextualSpacing/>
              <w:rPr>
                <w:rFonts w:ascii="Garamond" w:hAnsi="Garamond"/>
                <w:color w:val="FF0000"/>
                <w:sz w:val="24"/>
                <w:szCs w:val="24"/>
              </w:rPr>
            </w:pPr>
            <w:r w:rsidRPr="00B83976">
              <w:rPr>
                <w:rFonts w:ascii="Garamond" w:hAnsi="Garamond"/>
                <w:color w:val="FF0000"/>
                <w:sz w:val="24"/>
                <w:szCs w:val="24"/>
              </w:rPr>
              <w:t>Proxy voting agent which votes SERS’ shares consistent with SERS’ U.S. and Non-U.S. proxy voting policies</w:t>
            </w:r>
            <w:r w:rsidR="0081461C">
              <w:rPr>
                <w:rFonts w:ascii="Garamond" w:hAnsi="Garamond"/>
                <w:color w:val="FF0000"/>
                <w:sz w:val="24"/>
                <w:szCs w:val="24"/>
              </w:rPr>
              <w:t>.  Please see the attached Q1 2018 report.</w:t>
            </w:r>
          </w:p>
        </w:tc>
        <w:tc>
          <w:tcPr>
            <w:tcW w:w="1800" w:type="dxa"/>
          </w:tcPr>
          <w:p w14:paraId="18F777FE" w14:textId="77777777" w:rsidR="0039218E" w:rsidRPr="00B83976" w:rsidRDefault="007625E3" w:rsidP="00BD7256">
            <w:pPr>
              <w:contextualSpacing/>
              <w:rPr>
                <w:rFonts w:ascii="Garamond" w:hAnsi="Garamond"/>
                <w:color w:val="FF0000"/>
                <w:sz w:val="24"/>
                <w:szCs w:val="24"/>
              </w:rPr>
            </w:pPr>
            <w:r w:rsidRPr="00B83976">
              <w:rPr>
                <w:rFonts w:ascii="Garamond" w:hAnsi="Garamond"/>
                <w:color w:val="FF0000"/>
                <w:sz w:val="24"/>
                <w:szCs w:val="24"/>
              </w:rPr>
              <w:t>$93,000</w:t>
            </w:r>
          </w:p>
        </w:tc>
      </w:tr>
      <w:tr w:rsidR="007625E3" w:rsidRPr="00B83976" w14:paraId="5E559D77" w14:textId="77777777" w:rsidTr="0039218E">
        <w:tc>
          <w:tcPr>
            <w:tcW w:w="2605" w:type="dxa"/>
          </w:tcPr>
          <w:p w14:paraId="1AA2C9B6" w14:textId="77777777" w:rsidR="007625E3" w:rsidRPr="00B83976" w:rsidRDefault="007625E3" w:rsidP="00BD7256">
            <w:pPr>
              <w:contextualSpacing/>
              <w:rPr>
                <w:rFonts w:ascii="Garamond" w:hAnsi="Garamond"/>
                <w:color w:val="FF0000"/>
                <w:sz w:val="24"/>
                <w:szCs w:val="24"/>
              </w:rPr>
            </w:pPr>
            <w:r w:rsidRPr="00B83976">
              <w:rPr>
                <w:rFonts w:ascii="Garamond" w:hAnsi="Garamond"/>
                <w:color w:val="FF0000"/>
                <w:sz w:val="24"/>
                <w:szCs w:val="24"/>
              </w:rPr>
              <w:t>Korn Ferry Hay Group</w:t>
            </w:r>
            <w:r w:rsidR="006B55D4">
              <w:rPr>
                <w:rFonts w:ascii="Garamond" w:hAnsi="Garamond"/>
                <w:color w:val="FF0000"/>
                <w:sz w:val="24"/>
                <w:szCs w:val="24"/>
              </w:rPr>
              <w:t>, Inc.</w:t>
            </w:r>
          </w:p>
        </w:tc>
        <w:tc>
          <w:tcPr>
            <w:tcW w:w="5040" w:type="dxa"/>
          </w:tcPr>
          <w:p w14:paraId="72210602" w14:textId="6FD37DDA" w:rsidR="007625E3" w:rsidRPr="00B83976" w:rsidRDefault="00CD2F4E" w:rsidP="00BD7256">
            <w:pPr>
              <w:contextualSpacing/>
              <w:rPr>
                <w:rFonts w:ascii="Garamond" w:hAnsi="Garamond"/>
                <w:color w:val="FF0000"/>
                <w:sz w:val="24"/>
                <w:szCs w:val="24"/>
              </w:rPr>
            </w:pPr>
            <w:r w:rsidRPr="00B83976">
              <w:rPr>
                <w:rFonts w:ascii="Garamond" w:hAnsi="Garamond"/>
                <w:color w:val="FF0000"/>
                <w:sz w:val="24"/>
                <w:szCs w:val="24"/>
              </w:rPr>
              <w:t>Provides on-going pension actuarial services to SERS that includes but is not limited to annual valuations of the liabilities and recommended contributions, periodic analysis of experience for use in revising valuation assumptions, annual benefit cash flow projections and on-going advice and analysis on proposed legislation.</w:t>
            </w:r>
            <w:r w:rsidR="00C63292">
              <w:rPr>
                <w:rFonts w:ascii="Garamond" w:hAnsi="Garamond"/>
                <w:color w:val="FF0000"/>
                <w:sz w:val="24"/>
                <w:szCs w:val="24"/>
              </w:rPr>
              <w:t xml:space="preserve">  Please see the </w:t>
            </w:r>
            <w:r w:rsidR="0031451C">
              <w:rPr>
                <w:rFonts w:ascii="Garamond" w:hAnsi="Garamond"/>
                <w:color w:val="FF0000"/>
                <w:sz w:val="24"/>
                <w:szCs w:val="24"/>
              </w:rPr>
              <w:t xml:space="preserve">two </w:t>
            </w:r>
            <w:r w:rsidR="00C63292">
              <w:rPr>
                <w:rFonts w:ascii="Garamond" w:hAnsi="Garamond"/>
                <w:color w:val="FF0000"/>
                <w:sz w:val="24"/>
                <w:szCs w:val="24"/>
              </w:rPr>
              <w:t>attached 2017 actuarial report</w:t>
            </w:r>
            <w:r w:rsidR="0031451C">
              <w:rPr>
                <w:rFonts w:ascii="Garamond" w:hAnsi="Garamond"/>
                <w:color w:val="FF0000"/>
                <w:sz w:val="24"/>
                <w:szCs w:val="24"/>
              </w:rPr>
              <w:t>s</w:t>
            </w:r>
            <w:r w:rsidR="00C63292">
              <w:rPr>
                <w:rFonts w:ascii="Garamond" w:hAnsi="Garamond"/>
                <w:color w:val="FF0000"/>
                <w:sz w:val="24"/>
                <w:szCs w:val="24"/>
              </w:rPr>
              <w:t>.</w:t>
            </w:r>
          </w:p>
        </w:tc>
        <w:tc>
          <w:tcPr>
            <w:tcW w:w="1800" w:type="dxa"/>
          </w:tcPr>
          <w:p w14:paraId="77F07216" w14:textId="77777777" w:rsidR="007625E3" w:rsidRPr="00B83976" w:rsidRDefault="00CD2F4E" w:rsidP="00BD7256">
            <w:pPr>
              <w:contextualSpacing/>
              <w:rPr>
                <w:rFonts w:ascii="Garamond" w:hAnsi="Garamond"/>
                <w:color w:val="FF0000"/>
                <w:sz w:val="24"/>
                <w:szCs w:val="24"/>
              </w:rPr>
            </w:pPr>
            <w:r w:rsidRPr="00B83976">
              <w:rPr>
                <w:rFonts w:ascii="Garamond" w:hAnsi="Garamond"/>
                <w:color w:val="FF0000"/>
                <w:sz w:val="24"/>
                <w:szCs w:val="24"/>
              </w:rPr>
              <w:t>$443,000</w:t>
            </w:r>
          </w:p>
        </w:tc>
      </w:tr>
    </w:tbl>
    <w:p w14:paraId="5F4FD168" w14:textId="13158637" w:rsidR="00D34CE7" w:rsidRDefault="00D34CE7" w:rsidP="00BD7256">
      <w:pPr>
        <w:contextualSpacing/>
        <w:rPr>
          <w:rFonts w:ascii="Garamond" w:hAnsi="Garamond"/>
          <w:sz w:val="24"/>
          <w:szCs w:val="24"/>
        </w:rPr>
      </w:pPr>
    </w:p>
    <w:p w14:paraId="3BCAB137" w14:textId="69FD5E86" w:rsidR="003A209E" w:rsidRDefault="003A209E" w:rsidP="00BD7256">
      <w:pPr>
        <w:contextualSpacing/>
        <w:rPr>
          <w:rFonts w:ascii="Garamond" w:hAnsi="Garamond"/>
          <w:sz w:val="24"/>
          <w:szCs w:val="24"/>
        </w:rPr>
      </w:pPr>
      <w:bookmarkStart w:id="2" w:name="_GoBack"/>
      <w:bookmarkEnd w:id="2"/>
    </w:p>
    <w:p w14:paraId="07E60FC0" w14:textId="7659CAF9" w:rsidR="003A209E" w:rsidRPr="003A209E" w:rsidRDefault="002E2FA9" w:rsidP="003A209E">
      <w:pPr>
        <w:rPr>
          <w:rFonts w:ascii="Garamond" w:hAnsi="Garamond"/>
          <w:color w:val="FF0000"/>
          <w:sz w:val="24"/>
          <w:szCs w:val="24"/>
        </w:rPr>
      </w:pPr>
      <w:r>
        <w:rPr>
          <w:rFonts w:ascii="Garamond" w:hAnsi="Garamond"/>
          <w:color w:val="FF0000"/>
          <w:sz w:val="24"/>
          <w:szCs w:val="24"/>
          <w:vertAlign w:val="superscript"/>
        </w:rPr>
        <w:t>2</w:t>
      </w:r>
      <w:r w:rsidR="008876C5">
        <w:rPr>
          <w:rFonts w:ascii="Garamond" w:hAnsi="Garamond"/>
          <w:color w:val="FF0000"/>
          <w:sz w:val="24"/>
          <w:szCs w:val="24"/>
          <w:vertAlign w:val="superscript"/>
        </w:rPr>
        <w:t xml:space="preserve"> </w:t>
      </w:r>
      <w:r w:rsidR="003A209E" w:rsidRPr="003A209E">
        <w:rPr>
          <w:rFonts w:ascii="Garamond" w:hAnsi="Garamond"/>
          <w:color w:val="FF0000"/>
          <w:sz w:val="24"/>
          <w:szCs w:val="24"/>
        </w:rPr>
        <w:t xml:space="preserve">The third page of </w:t>
      </w:r>
      <w:r w:rsidR="00A95D65">
        <w:rPr>
          <w:rFonts w:ascii="Garamond" w:hAnsi="Garamond"/>
          <w:color w:val="FF0000"/>
          <w:sz w:val="24"/>
          <w:szCs w:val="24"/>
        </w:rPr>
        <w:t xml:space="preserve">the </w:t>
      </w:r>
      <w:r w:rsidR="003A209E" w:rsidRPr="003A209E">
        <w:rPr>
          <w:rFonts w:ascii="Garamond" w:hAnsi="Garamond"/>
          <w:color w:val="FF0000"/>
          <w:sz w:val="24"/>
          <w:szCs w:val="24"/>
        </w:rPr>
        <w:t xml:space="preserve">introduction </w:t>
      </w:r>
      <w:r w:rsidR="00A95D65">
        <w:rPr>
          <w:rFonts w:ascii="Garamond" w:hAnsi="Garamond"/>
          <w:color w:val="FF0000"/>
          <w:sz w:val="24"/>
          <w:szCs w:val="24"/>
        </w:rPr>
        <w:t xml:space="preserve">section, </w:t>
      </w:r>
      <w:r w:rsidR="003A209E" w:rsidRPr="003A209E">
        <w:rPr>
          <w:rFonts w:ascii="Garamond" w:hAnsi="Garamond"/>
          <w:color w:val="FF0000"/>
          <w:sz w:val="24"/>
          <w:szCs w:val="24"/>
        </w:rPr>
        <w:t xml:space="preserve">and </w:t>
      </w:r>
      <w:r w:rsidR="003A209E" w:rsidRPr="00571D9C">
        <w:rPr>
          <w:rFonts w:ascii="Garamond" w:hAnsi="Garamond"/>
          <w:color w:val="FF0000"/>
          <w:sz w:val="24"/>
          <w:szCs w:val="24"/>
        </w:rPr>
        <w:t>pages</w:t>
      </w:r>
      <w:r w:rsidR="003A209E" w:rsidRPr="003A209E">
        <w:rPr>
          <w:rFonts w:ascii="Garamond" w:hAnsi="Garamond"/>
          <w:color w:val="FF0000"/>
          <w:sz w:val="24"/>
          <w:szCs w:val="24"/>
        </w:rPr>
        <w:t xml:space="preserve"> </w:t>
      </w:r>
      <w:r w:rsidR="00A95D65">
        <w:rPr>
          <w:rFonts w:ascii="Garamond" w:hAnsi="Garamond"/>
          <w:color w:val="FF0000"/>
          <w:sz w:val="24"/>
          <w:szCs w:val="24"/>
        </w:rPr>
        <w:t>2</w:t>
      </w:r>
      <w:r w:rsidR="003A209E" w:rsidRPr="003A209E">
        <w:rPr>
          <w:rFonts w:ascii="Garamond" w:hAnsi="Garamond"/>
          <w:color w:val="FF0000"/>
          <w:sz w:val="24"/>
          <w:szCs w:val="24"/>
        </w:rPr>
        <w:t xml:space="preserve">-8, 11-13, and 43-49 were </w:t>
      </w:r>
      <w:r w:rsidR="00A95D65">
        <w:rPr>
          <w:rFonts w:ascii="Garamond" w:hAnsi="Garamond"/>
          <w:color w:val="FF0000"/>
          <w:sz w:val="24"/>
          <w:szCs w:val="24"/>
        </w:rPr>
        <w:t xml:space="preserve">either partially or fully </w:t>
      </w:r>
      <w:r w:rsidR="003A209E" w:rsidRPr="003A209E">
        <w:rPr>
          <w:rFonts w:ascii="Garamond" w:hAnsi="Garamond"/>
          <w:color w:val="FF0000"/>
          <w:sz w:val="24"/>
          <w:szCs w:val="24"/>
        </w:rPr>
        <w:t>redacted because they contain confidential proprietary information and trade secrets.  65 P.S. §67.708(b</w:t>
      </w:r>
      <w:proofErr w:type="gramStart"/>
      <w:r w:rsidR="003A209E" w:rsidRPr="003A209E">
        <w:rPr>
          <w:rFonts w:ascii="Garamond" w:hAnsi="Garamond"/>
          <w:color w:val="FF0000"/>
          <w:sz w:val="24"/>
          <w:szCs w:val="24"/>
        </w:rPr>
        <w:t>)(</w:t>
      </w:r>
      <w:proofErr w:type="gramEnd"/>
      <w:r w:rsidR="003A209E" w:rsidRPr="003A209E">
        <w:rPr>
          <w:rFonts w:ascii="Garamond" w:hAnsi="Garamond"/>
          <w:color w:val="FF0000"/>
          <w:sz w:val="24"/>
          <w:szCs w:val="24"/>
        </w:rPr>
        <w:t>11)</w:t>
      </w:r>
      <w:r w:rsidR="008876C5">
        <w:rPr>
          <w:rFonts w:ascii="Garamond" w:hAnsi="Garamond"/>
          <w:color w:val="FF0000"/>
          <w:sz w:val="24"/>
          <w:szCs w:val="24"/>
        </w:rPr>
        <w:t>.</w:t>
      </w:r>
      <w:r w:rsidR="003A209E" w:rsidRPr="003A209E">
        <w:rPr>
          <w:rFonts w:ascii="Garamond" w:hAnsi="Garamond"/>
          <w:color w:val="FF0000"/>
          <w:sz w:val="24"/>
          <w:szCs w:val="24"/>
        </w:rPr>
        <w:t xml:space="preserve"> </w:t>
      </w:r>
      <w:r w:rsidR="008876C5">
        <w:rPr>
          <w:rFonts w:ascii="Garamond" w:hAnsi="Garamond"/>
          <w:color w:val="FF0000"/>
          <w:sz w:val="24"/>
          <w:szCs w:val="24"/>
        </w:rPr>
        <w:t xml:space="preserve"> P</w:t>
      </w:r>
      <w:r w:rsidR="003A209E" w:rsidRPr="003A209E">
        <w:rPr>
          <w:rFonts w:ascii="Garamond" w:hAnsi="Garamond"/>
          <w:color w:val="FF0000"/>
          <w:sz w:val="24"/>
          <w:szCs w:val="24"/>
        </w:rPr>
        <w:t xml:space="preserve">age 16 was redacted because the records reflect internal, </w:t>
      </w:r>
      <w:proofErr w:type="spellStart"/>
      <w:r w:rsidR="003A209E" w:rsidRPr="003A209E">
        <w:rPr>
          <w:rFonts w:ascii="Garamond" w:hAnsi="Garamond"/>
          <w:color w:val="FF0000"/>
          <w:sz w:val="24"/>
          <w:szCs w:val="24"/>
        </w:rPr>
        <w:t>predecisional</w:t>
      </w:r>
      <w:proofErr w:type="spellEnd"/>
      <w:r w:rsidR="003A209E" w:rsidRPr="003A209E">
        <w:rPr>
          <w:rFonts w:ascii="Garamond" w:hAnsi="Garamond"/>
          <w:color w:val="FF0000"/>
          <w:sz w:val="24"/>
          <w:szCs w:val="24"/>
        </w:rPr>
        <w:t xml:space="preserve"> deliberations of SERS’ employees, which are exempt from access under the RTKL.  See 65</w:t>
      </w:r>
      <w:r w:rsidR="0081144A">
        <w:rPr>
          <w:rFonts w:ascii="Garamond" w:hAnsi="Garamond"/>
          <w:color w:val="FF0000"/>
          <w:sz w:val="24"/>
          <w:szCs w:val="24"/>
        </w:rPr>
        <w:t xml:space="preserve"> P.S. § 67.708 (b)(</w:t>
      </w:r>
      <w:proofErr w:type="gramStart"/>
      <w:r w:rsidR="0081144A">
        <w:rPr>
          <w:rFonts w:ascii="Garamond" w:hAnsi="Garamond"/>
          <w:color w:val="FF0000"/>
          <w:sz w:val="24"/>
          <w:szCs w:val="24"/>
        </w:rPr>
        <w:t>10)(</w:t>
      </w:r>
      <w:proofErr w:type="spellStart"/>
      <w:proofErr w:type="gramEnd"/>
      <w:r w:rsidR="0081144A">
        <w:rPr>
          <w:rFonts w:ascii="Garamond" w:hAnsi="Garamond"/>
          <w:color w:val="FF0000"/>
          <w:sz w:val="24"/>
          <w:szCs w:val="24"/>
        </w:rPr>
        <w:t>i</w:t>
      </w:r>
      <w:proofErr w:type="spellEnd"/>
      <w:r w:rsidR="0081144A">
        <w:rPr>
          <w:rFonts w:ascii="Garamond" w:hAnsi="Garamond"/>
          <w:color w:val="FF0000"/>
          <w:sz w:val="24"/>
          <w:szCs w:val="24"/>
        </w:rPr>
        <w:t>)(A).  </w:t>
      </w:r>
      <w:r w:rsidR="003A209E" w:rsidRPr="003A209E">
        <w:rPr>
          <w:rFonts w:ascii="Garamond" w:hAnsi="Garamond"/>
          <w:color w:val="FF0000"/>
          <w:sz w:val="24"/>
          <w:szCs w:val="24"/>
        </w:rPr>
        <w:t>Page</w:t>
      </w:r>
      <w:r w:rsidR="00A95D65">
        <w:rPr>
          <w:rFonts w:ascii="Garamond" w:hAnsi="Garamond"/>
          <w:color w:val="FF0000"/>
          <w:sz w:val="24"/>
          <w:szCs w:val="24"/>
        </w:rPr>
        <w:t>s</w:t>
      </w:r>
      <w:r w:rsidR="003A209E" w:rsidRPr="003A209E">
        <w:rPr>
          <w:rFonts w:ascii="Garamond" w:hAnsi="Garamond"/>
          <w:color w:val="FF0000"/>
          <w:sz w:val="24"/>
          <w:szCs w:val="24"/>
        </w:rPr>
        <w:t xml:space="preserve"> </w:t>
      </w:r>
      <w:r w:rsidR="0081144A">
        <w:rPr>
          <w:rFonts w:ascii="Garamond" w:hAnsi="Garamond"/>
          <w:color w:val="FF0000"/>
          <w:sz w:val="24"/>
          <w:szCs w:val="24"/>
        </w:rPr>
        <w:t>2</w:t>
      </w:r>
      <w:r w:rsidR="00A95D65">
        <w:rPr>
          <w:rFonts w:ascii="Garamond" w:hAnsi="Garamond"/>
          <w:color w:val="FF0000"/>
          <w:sz w:val="24"/>
          <w:szCs w:val="24"/>
        </w:rPr>
        <w:t xml:space="preserve"> and 10-</w:t>
      </w:r>
      <w:r w:rsidR="003A209E" w:rsidRPr="003A209E">
        <w:rPr>
          <w:rFonts w:ascii="Garamond" w:hAnsi="Garamond"/>
          <w:color w:val="FF0000"/>
          <w:sz w:val="24"/>
          <w:szCs w:val="24"/>
        </w:rPr>
        <w:t xml:space="preserve">12 </w:t>
      </w:r>
      <w:r w:rsidR="00A95D65">
        <w:rPr>
          <w:rFonts w:ascii="Garamond" w:hAnsi="Garamond"/>
          <w:color w:val="FF0000"/>
          <w:sz w:val="24"/>
          <w:szCs w:val="24"/>
        </w:rPr>
        <w:t>are</w:t>
      </w:r>
      <w:r w:rsidR="003A209E" w:rsidRPr="003A209E">
        <w:rPr>
          <w:rFonts w:ascii="Garamond" w:hAnsi="Garamond"/>
          <w:color w:val="FF0000"/>
          <w:sz w:val="24"/>
          <w:szCs w:val="24"/>
        </w:rPr>
        <w:t xml:space="preserve"> </w:t>
      </w:r>
      <w:r w:rsidR="00A95D65">
        <w:rPr>
          <w:rFonts w:ascii="Garamond" w:hAnsi="Garamond"/>
          <w:color w:val="FF0000"/>
          <w:sz w:val="24"/>
          <w:szCs w:val="24"/>
        </w:rPr>
        <w:t>partially redacted</w:t>
      </w:r>
      <w:r w:rsidR="003A209E" w:rsidRPr="003A209E">
        <w:rPr>
          <w:rFonts w:ascii="Garamond" w:hAnsi="Garamond"/>
          <w:color w:val="FF0000"/>
          <w:sz w:val="24"/>
          <w:szCs w:val="24"/>
        </w:rPr>
        <w:t xml:space="preserve"> for the additional reason that disclosure of that record would have a substantial detrimental impact on the value of the investment</w:t>
      </w:r>
      <w:r w:rsidR="00E85DB1">
        <w:rPr>
          <w:rFonts w:ascii="Garamond" w:hAnsi="Garamond"/>
          <w:color w:val="FF0000"/>
          <w:sz w:val="24"/>
          <w:szCs w:val="24"/>
        </w:rPr>
        <w:t xml:space="preserve"> or </w:t>
      </w:r>
      <w:r w:rsidR="00E85DB1" w:rsidRPr="00110365">
        <w:rPr>
          <w:rFonts w:ascii="Garamond" w:hAnsi="Garamond"/>
          <w:color w:val="FF0000"/>
          <w:sz w:val="24"/>
          <w:szCs w:val="24"/>
        </w:rPr>
        <w:t xml:space="preserve">would </w:t>
      </w:r>
      <w:r w:rsidR="00E85DB1">
        <w:rPr>
          <w:rFonts w:ascii="Garamond" w:hAnsi="Garamond"/>
          <w:color w:val="FF0000"/>
          <w:sz w:val="24"/>
          <w:szCs w:val="24"/>
        </w:rPr>
        <w:t xml:space="preserve">otherwise </w:t>
      </w:r>
      <w:r w:rsidR="00E85DB1" w:rsidRPr="00110365">
        <w:rPr>
          <w:rFonts w:ascii="Garamond" w:hAnsi="Garamond"/>
          <w:color w:val="FF0000"/>
          <w:sz w:val="24"/>
          <w:szCs w:val="24"/>
        </w:rPr>
        <w:t>cause substantial competitive harm to the party who provided it to SERS</w:t>
      </w:r>
      <w:r w:rsidR="00E85DB1">
        <w:rPr>
          <w:rFonts w:ascii="Garamond" w:hAnsi="Garamond"/>
          <w:color w:val="FF0000"/>
          <w:sz w:val="24"/>
          <w:szCs w:val="24"/>
        </w:rPr>
        <w:t>,</w:t>
      </w:r>
      <w:r w:rsidR="003A209E" w:rsidRPr="003A209E">
        <w:rPr>
          <w:rFonts w:ascii="Garamond" w:hAnsi="Garamond"/>
          <w:color w:val="FF0000"/>
          <w:sz w:val="24"/>
          <w:szCs w:val="24"/>
        </w:rPr>
        <w:t xml:space="preserve"> or would be a breach of the fiduciary duty set forth in the Retirement Code.  71 Pa. C.S. § 5902(e)(2)</w:t>
      </w:r>
      <w:r w:rsidR="00E85DB1">
        <w:rPr>
          <w:rFonts w:ascii="Garamond" w:hAnsi="Garamond"/>
          <w:color w:val="FF0000"/>
          <w:sz w:val="24"/>
          <w:szCs w:val="24"/>
        </w:rPr>
        <w:t>(i)-</w:t>
      </w:r>
      <w:r w:rsidR="003A209E" w:rsidRPr="003A209E">
        <w:rPr>
          <w:rFonts w:ascii="Garamond" w:hAnsi="Garamond"/>
          <w:color w:val="FF0000"/>
          <w:sz w:val="24"/>
          <w:szCs w:val="24"/>
        </w:rPr>
        <w:t>(iii).</w:t>
      </w:r>
    </w:p>
    <w:p w14:paraId="1FF6DD8B" w14:textId="77777777" w:rsidR="003A209E" w:rsidRPr="003A209E" w:rsidRDefault="003A209E" w:rsidP="003A209E">
      <w:pPr>
        <w:rPr>
          <w:rFonts w:ascii="Garamond" w:hAnsi="Garamond"/>
          <w:color w:val="FF0000"/>
          <w:sz w:val="24"/>
          <w:szCs w:val="24"/>
        </w:rPr>
      </w:pPr>
    </w:p>
    <w:p w14:paraId="382028D3" w14:textId="4E6FC23F" w:rsidR="003A209E" w:rsidRDefault="003A209E" w:rsidP="003A209E">
      <w:pPr>
        <w:contextualSpacing/>
        <w:rPr>
          <w:rFonts w:ascii="Garamond" w:hAnsi="Garamond"/>
          <w:sz w:val="24"/>
          <w:szCs w:val="24"/>
        </w:rPr>
      </w:pPr>
      <w:r w:rsidRPr="003A209E">
        <w:rPr>
          <w:rFonts w:ascii="Garamond" w:hAnsi="Garamond"/>
          <w:color w:val="FF0000"/>
          <w:sz w:val="24"/>
          <w:szCs w:val="24"/>
        </w:rPr>
        <w:t>Page 9 and pages 20-31 and 33-42 were redacted because the records are exempt from disclosure by Section 5902(e) of the State Employees’ Retirement Code, 71 Pa. C.S. §§ 5101-5957 (</w:t>
      </w:r>
      <w:r w:rsidR="008876C5">
        <w:rPr>
          <w:rFonts w:ascii="Garamond" w:hAnsi="Garamond"/>
          <w:color w:val="FF0000"/>
          <w:sz w:val="24"/>
          <w:szCs w:val="24"/>
        </w:rPr>
        <w:t>“</w:t>
      </w:r>
      <w:r w:rsidRPr="003A209E">
        <w:rPr>
          <w:rFonts w:ascii="Garamond" w:hAnsi="Garamond"/>
          <w:color w:val="FF0000"/>
          <w:sz w:val="24"/>
          <w:szCs w:val="24"/>
        </w:rPr>
        <w:t>Retirement Code</w:t>
      </w:r>
      <w:r w:rsidR="008876C5">
        <w:rPr>
          <w:rFonts w:ascii="Garamond" w:hAnsi="Garamond"/>
          <w:color w:val="FF0000"/>
          <w:sz w:val="24"/>
          <w:szCs w:val="24"/>
        </w:rPr>
        <w:t>”</w:t>
      </w:r>
      <w:r w:rsidRPr="003A209E">
        <w:rPr>
          <w:rFonts w:ascii="Garamond" w:hAnsi="Garamond"/>
          <w:color w:val="FF0000"/>
          <w:sz w:val="24"/>
          <w:szCs w:val="24"/>
        </w:rPr>
        <w:t>).  SERS was able to obtain such information only upon agreeing to maintain its confidentiality; and disclosure of such information would cause substantial competitive harm to the party who provided it to SERS and would have a substantial detrimental impact on the value of the related investment.  71 Pa. C.S. § 5902(e)(2)(</w:t>
      </w:r>
      <w:proofErr w:type="spellStart"/>
      <w:r w:rsidRPr="003A209E">
        <w:rPr>
          <w:rFonts w:ascii="Garamond" w:hAnsi="Garamond"/>
          <w:color w:val="FF0000"/>
          <w:sz w:val="24"/>
          <w:szCs w:val="24"/>
        </w:rPr>
        <w:t>i</w:t>
      </w:r>
      <w:proofErr w:type="spellEnd"/>
      <w:r w:rsidRPr="003A209E">
        <w:rPr>
          <w:rFonts w:ascii="Garamond" w:hAnsi="Garamond"/>
          <w:color w:val="FF0000"/>
          <w:sz w:val="24"/>
          <w:szCs w:val="24"/>
        </w:rPr>
        <w:t>)–(iii).  Consequently, disclosure of those records would be a breach of the fiduciary duty set forth in the</w:t>
      </w:r>
      <w:r w:rsidR="008876C5">
        <w:rPr>
          <w:rFonts w:ascii="Garamond" w:hAnsi="Garamond"/>
          <w:color w:val="FF0000"/>
          <w:sz w:val="24"/>
          <w:szCs w:val="24"/>
        </w:rPr>
        <w:t xml:space="preserve"> Retirement Code.  71 Pa. C.S. </w:t>
      </w:r>
      <w:r w:rsidR="008876C5" w:rsidRPr="003A209E">
        <w:rPr>
          <w:rFonts w:ascii="Garamond" w:hAnsi="Garamond"/>
          <w:color w:val="FF0000"/>
          <w:sz w:val="24"/>
          <w:szCs w:val="24"/>
        </w:rPr>
        <w:t>§</w:t>
      </w:r>
      <w:r w:rsidR="008876C5">
        <w:rPr>
          <w:rFonts w:ascii="Garamond" w:hAnsi="Garamond"/>
          <w:color w:val="FF0000"/>
          <w:sz w:val="24"/>
          <w:szCs w:val="24"/>
        </w:rPr>
        <w:t xml:space="preserve"> </w:t>
      </w:r>
      <w:r w:rsidRPr="003A209E">
        <w:rPr>
          <w:rFonts w:ascii="Garamond" w:hAnsi="Garamond"/>
          <w:color w:val="FF0000"/>
          <w:sz w:val="24"/>
          <w:szCs w:val="24"/>
        </w:rPr>
        <w:t>5902(e)(2)(iii).  Therefore, the records are excluded from the RTKL’s definition of “public record.”  See 65 P.S. § 67.102 (definition of “public record”)</w:t>
      </w:r>
      <w:r w:rsidR="008876C5">
        <w:rPr>
          <w:rFonts w:ascii="Garamond" w:hAnsi="Garamond"/>
          <w:color w:val="FF0000"/>
          <w:sz w:val="24"/>
          <w:szCs w:val="24"/>
        </w:rPr>
        <w:t>;</w:t>
      </w:r>
      <w:r w:rsidRPr="003A209E">
        <w:rPr>
          <w:rFonts w:ascii="Garamond" w:hAnsi="Garamond"/>
          <w:color w:val="FF0000"/>
          <w:sz w:val="24"/>
          <w:szCs w:val="24"/>
        </w:rPr>
        <w:t xml:space="preserve"> </w:t>
      </w:r>
      <w:r w:rsidR="008876C5">
        <w:rPr>
          <w:rFonts w:ascii="Garamond" w:hAnsi="Garamond"/>
          <w:color w:val="FF0000"/>
          <w:sz w:val="24"/>
          <w:szCs w:val="24"/>
        </w:rPr>
        <w:t>s</w:t>
      </w:r>
      <w:r w:rsidRPr="003A209E">
        <w:rPr>
          <w:rFonts w:ascii="Garamond" w:hAnsi="Garamond"/>
          <w:color w:val="FF0000"/>
          <w:sz w:val="24"/>
          <w:szCs w:val="24"/>
        </w:rPr>
        <w:t xml:space="preserve">ee </w:t>
      </w:r>
      <w:r w:rsidR="008876C5">
        <w:rPr>
          <w:rFonts w:ascii="Garamond" w:hAnsi="Garamond"/>
          <w:color w:val="FF0000"/>
          <w:sz w:val="24"/>
          <w:szCs w:val="24"/>
        </w:rPr>
        <w:t xml:space="preserve">also </w:t>
      </w:r>
      <w:r w:rsidRPr="00577C84">
        <w:rPr>
          <w:rFonts w:ascii="Garamond" w:hAnsi="Garamond"/>
          <w:color w:val="FF0000"/>
          <w:sz w:val="24"/>
          <w:szCs w:val="24"/>
          <w:u w:val="single"/>
        </w:rPr>
        <w:t>Bains v. State Employees’ Retirement System</w:t>
      </w:r>
      <w:r w:rsidRPr="0075309C">
        <w:rPr>
          <w:rFonts w:ascii="Garamond" w:hAnsi="Garamond"/>
          <w:color w:val="FF0000"/>
          <w:sz w:val="24"/>
          <w:szCs w:val="24"/>
        </w:rPr>
        <w:t>, Pennsylvania Office of Open Records</w:t>
      </w:r>
      <w:r w:rsidRPr="003A209E">
        <w:rPr>
          <w:rFonts w:ascii="Garamond" w:hAnsi="Garamond"/>
          <w:color w:val="FF0000"/>
          <w:sz w:val="24"/>
          <w:szCs w:val="24"/>
        </w:rPr>
        <w:t xml:space="preserve"> Docket No. AP 2015-2667.  These records are denied for the additional reason that they contain confidential proprietary information and trade secrets.  65 P.S. §67.708(b</w:t>
      </w:r>
      <w:proofErr w:type="gramStart"/>
      <w:r w:rsidRPr="003A209E">
        <w:rPr>
          <w:rFonts w:ascii="Garamond" w:hAnsi="Garamond"/>
          <w:color w:val="FF0000"/>
          <w:sz w:val="24"/>
          <w:szCs w:val="24"/>
        </w:rPr>
        <w:t>)(</w:t>
      </w:r>
      <w:proofErr w:type="gramEnd"/>
      <w:r w:rsidRPr="003A209E">
        <w:rPr>
          <w:rFonts w:ascii="Garamond" w:hAnsi="Garamond"/>
          <w:color w:val="FF0000"/>
          <w:sz w:val="24"/>
          <w:szCs w:val="24"/>
        </w:rPr>
        <w:t>11).  The value of that confidential information is that it is not generally known or readily ascertainable by proper means; and its disclosure would cause substantial competitive harm to the parties from whom SERS obtained it.  Therefore, all reasonable efforts are taken to maintain its secrecy.  Id.</w:t>
      </w:r>
    </w:p>
    <w:p w14:paraId="3AEFF2AC" w14:textId="223D7126" w:rsidR="003A209E" w:rsidRDefault="003A209E" w:rsidP="00BD7256">
      <w:pPr>
        <w:contextualSpacing/>
        <w:rPr>
          <w:rFonts w:ascii="Garamond" w:hAnsi="Garamond"/>
          <w:sz w:val="24"/>
          <w:szCs w:val="24"/>
        </w:rPr>
      </w:pPr>
    </w:p>
    <w:p w14:paraId="2A2A8F48" w14:textId="3DC773C8" w:rsidR="003A209E" w:rsidRDefault="003A209E" w:rsidP="00BD7256">
      <w:pPr>
        <w:contextualSpacing/>
        <w:rPr>
          <w:rFonts w:ascii="Garamond" w:hAnsi="Garamond"/>
          <w:sz w:val="24"/>
          <w:szCs w:val="24"/>
        </w:rPr>
      </w:pPr>
    </w:p>
    <w:p w14:paraId="27B18318" w14:textId="5FFEF57A" w:rsidR="003A209E" w:rsidRDefault="003A209E" w:rsidP="00BD7256">
      <w:pPr>
        <w:contextualSpacing/>
        <w:rPr>
          <w:rFonts w:ascii="Garamond" w:hAnsi="Garamond"/>
          <w:sz w:val="24"/>
          <w:szCs w:val="24"/>
        </w:rPr>
      </w:pPr>
    </w:p>
    <w:p w14:paraId="531C2748" w14:textId="7A1BC673" w:rsidR="003A209E" w:rsidRDefault="003A209E" w:rsidP="00BD7256">
      <w:pPr>
        <w:contextualSpacing/>
        <w:rPr>
          <w:rFonts w:ascii="Garamond" w:hAnsi="Garamond"/>
          <w:sz w:val="24"/>
          <w:szCs w:val="24"/>
        </w:rPr>
      </w:pPr>
    </w:p>
    <w:p w14:paraId="16992D0E" w14:textId="77777777" w:rsidR="003A209E" w:rsidRDefault="003A209E" w:rsidP="00BD7256">
      <w:pPr>
        <w:contextualSpacing/>
        <w:rPr>
          <w:rFonts w:ascii="Garamond" w:hAnsi="Garamond"/>
          <w:sz w:val="24"/>
          <w:szCs w:val="24"/>
        </w:rPr>
      </w:pPr>
    </w:p>
    <w:p w14:paraId="14216CF5" w14:textId="77777777" w:rsidR="00BD7256" w:rsidRDefault="00BD7256" w:rsidP="00BD7256">
      <w:pPr>
        <w:contextualSpacing/>
        <w:rPr>
          <w:rFonts w:ascii="Garamond" w:hAnsi="Garamond"/>
          <w:sz w:val="24"/>
          <w:szCs w:val="24"/>
        </w:rPr>
      </w:pPr>
    </w:p>
    <w:p w14:paraId="09E3C9A2" w14:textId="34567574" w:rsidR="009009A6" w:rsidRPr="00B83976" w:rsidRDefault="002E2FA9" w:rsidP="009009A6">
      <w:pPr>
        <w:contextualSpacing/>
        <w:rPr>
          <w:rFonts w:ascii="Garamond" w:hAnsi="Garamond"/>
          <w:color w:val="FF0000"/>
          <w:sz w:val="24"/>
          <w:szCs w:val="24"/>
        </w:rPr>
      </w:pPr>
      <w:r>
        <w:rPr>
          <w:rFonts w:ascii="Garamond" w:hAnsi="Garamond"/>
          <w:color w:val="FF0000"/>
          <w:sz w:val="24"/>
          <w:szCs w:val="24"/>
          <w:vertAlign w:val="superscript"/>
        </w:rPr>
        <w:t>3</w:t>
      </w:r>
      <w:r w:rsidR="008876C5">
        <w:rPr>
          <w:rFonts w:ascii="Garamond" w:hAnsi="Garamond"/>
          <w:color w:val="FF0000"/>
          <w:sz w:val="24"/>
          <w:szCs w:val="24"/>
          <w:vertAlign w:val="superscript"/>
        </w:rPr>
        <w:t xml:space="preserve"> </w:t>
      </w:r>
      <w:r w:rsidR="009009A6" w:rsidRPr="005C4235">
        <w:rPr>
          <w:rFonts w:ascii="Garamond" w:hAnsi="Garamond"/>
          <w:color w:val="FF0000"/>
          <w:sz w:val="24"/>
          <w:szCs w:val="24"/>
        </w:rPr>
        <w:t>The records on pages 8, 15, and 17 of the NEPC Real Estate Semi-Annual Performance Review as of 06-30-17 were redacted because they contain confidential proprietary information and trade secrets.  65 P.S. §67.708(b</w:t>
      </w:r>
      <w:proofErr w:type="gramStart"/>
      <w:r w:rsidR="009009A6" w:rsidRPr="005C4235">
        <w:rPr>
          <w:rFonts w:ascii="Garamond" w:hAnsi="Garamond"/>
          <w:color w:val="FF0000"/>
          <w:sz w:val="24"/>
          <w:szCs w:val="24"/>
        </w:rPr>
        <w:t>)(</w:t>
      </w:r>
      <w:proofErr w:type="gramEnd"/>
      <w:r w:rsidR="009009A6" w:rsidRPr="005C4235">
        <w:rPr>
          <w:rFonts w:ascii="Garamond" w:hAnsi="Garamond"/>
          <w:color w:val="FF0000"/>
          <w:sz w:val="24"/>
          <w:szCs w:val="24"/>
        </w:rPr>
        <w:t>11)</w:t>
      </w:r>
      <w:r w:rsidR="008876C5">
        <w:rPr>
          <w:rFonts w:ascii="Garamond" w:hAnsi="Garamond"/>
          <w:color w:val="FF0000"/>
          <w:sz w:val="24"/>
          <w:szCs w:val="24"/>
        </w:rPr>
        <w:t>.</w:t>
      </w:r>
      <w:r w:rsidR="009009A6" w:rsidRPr="005C4235">
        <w:rPr>
          <w:rFonts w:ascii="Garamond" w:hAnsi="Garamond"/>
          <w:color w:val="FF0000"/>
          <w:sz w:val="24"/>
          <w:szCs w:val="24"/>
        </w:rPr>
        <w:t xml:space="preserve"> </w:t>
      </w:r>
      <w:r w:rsidR="008876C5">
        <w:rPr>
          <w:rFonts w:ascii="Garamond" w:hAnsi="Garamond"/>
          <w:color w:val="FF0000"/>
          <w:sz w:val="24"/>
          <w:szCs w:val="24"/>
        </w:rPr>
        <w:t xml:space="preserve"> P</w:t>
      </w:r>
      <w:r w:rsidR="009009A6" w:rsidRPr="005C4235">
        <w:rPr>
          <w:rFonts w:ascii="Garamond" w:hAnsi="Garamond"/>
          <w:color w:val="FF0000"/>
          <w:sz w:val="24"/>
          <w:szCs w:val="24"/>
        </w:rPr>
        <w:t xml:space="preserve">age 16 was redacted because the records reflect internal, </w:t>
      </w:r>
      <w:proofErr w:type="spellStart"/>
      <w:r w:rsidR="009009A6" w:rsidRPr="005C4235">
        <w:rPr>
          <w:rFonts w:ascii="Garamond" w:hAnsi="Garamond"/>
          <w:color w:val="FF0000"/>
          <w:sz w:val="24"/>
          <w:szCs w:val="24"/>
        </w:rPr>
        <w:t>predecisional</w:t>
      </w:r>
      <w:proofErr w:type="spellEnd"/>
      <w:r w:rsidR="009009A6" w:rsidRPr="005C4235">
        <w:rPr>
          <w:rFonts w:ascii="Garamond" w:hAnsi="Garamond"/>
          <w:color w:val="FF0000"/>
          <w:sz w:val="24"/>
          <w:szCs w:val="24"/>
        </w:rPr>
        <w:t xml:space="preserve"> deliberations of SERS’ employees, which are exempt from access under the RTKL.  See 65 P.S. § 67.708 (b)(</w:t>
      </w:r>
      <w:proofErr w:type="gramStart"/>
      <w:r w:rsidR="009009A6" w:rsidRPr="005C4235">
        <w:rPr>
          <w:rFonts w:ascii="Garamond" w:hAnsi="Garamond"/>
          <w:color w:val="FF0000"/>
          <w:sz w:val="24"/>
          <w:szCs w:val="24"/>
        </w:rPr>
        <w:t>10)(</w:t>
      </w:r>
      <w:proofErr w:type="spellStart"/>
      <w:proofErr w:type="gramEnd"/>
      <w:r w:rsidR="009009A6" w:rsidRPr="005C4235">
        <w:rPr>
          <w:rFonts w:ascii="Garamond" w:hAnsi="Garamond"/>
          <w:color w:val="FF0000"/>
          <w:sz w:val="24"/>
          <w:szCs w:val="24"/>
        </w:rPr>
        <w:t>i</w:t>
      </w:r>
      <w:proofErr w:type="spellEnd"/>
      <w:r w:rsidR="009009A6" w:rsidRPr="005C4235">
        <w:rPr>
          <w:rFonts w:ascii="Garamond" w:hAnsi="Garamond"/>
          <w:color w:val="FF0000"/>
          <w:sz w:val="24"/>
          <w:szCs w:val="24"/>
        </w:rPr>
        <w:t>)(A).</w:t>
      </w:r>
      <w:r w:rsidR="009009A6">
        <w:rPr>
          <w:rFonts w:ascii="Garamond" w:hAnsi="Garamond"/>
          <w:color w:val="FF0000"/>
          <w:sz w:val="24"/>
          <w:szCs w:val="24"/>
        </w:rPr>
        <w:t xml:space="preserve">  T</w:t>
      </w:r>
      <w:r w:rsidR="009009A6" w:rsidRPr="005C5C4A">
        <w:rPr>
          <w:rFonts w:ascii="Garamond" w:hAnsi="Garamond"/>
          <w:color w:val="FF0000"/>
          <w:sz w:val="24"/>
          <w:szCs w:val="24"/>
        </w:rPr>
        <w:t>he records on pages 20-22 were redacted because the records are exempt from disclosure by Section 5902(e) of the Retirement Code, 71 Pa. C.S. §§ 5101-5957.  SERS was able to obtain such information only upon agreeing to maintain its confidentiality; and disclosure of such information would cause substantial competitive harm to the party who provided it to SERS and would have a substantial detrimental impact on the value of the related investment.  71 Pa. C.S. § 5902(e)(2)(</w:t>
      </w:r>
      <w:proofErr w:type="spellStart"/>
      <w:r w:rsidR="009009A6" w:rsidRPr="005C5C4A">
        <w:rPr>
          <w:rFonts w:ascii="Garamond" w:hAnsi="Garamond"/>
          <w:color w:val="FF0000"/>
          <w:sz w:val="24"/>
          <w:szCs w:val="24"/>
        </w:rPr>
        <w:t>i</w:t>
      </w:r>
      <w:proofErr w:type="spellEnd"/>
      <w:r w:rsidR="009009A6" w:rsidRPr="005C5C4A">
        <w:rPr>
          <w:rFonts w:ascii="Garamond" w:hAnsi="Garamond"/>
          <w:color w:val="FF0000"/>
          <w:sz w:val="24"/>
          <w:szCs w:val="24"/>
        </w:rPr>
        <w:t>)–(iii).  Consequently, disclosure of those records would be a breach of the fiduciary duty set forth in the Retirement Code.  71 Pa. C.S. § 5902(e)(2)(iii).  Therefore, the records are excluded from the RTKL’s definition of “public record.”  See 65 P.S. § 67.102 (definition of “public record”)</w:t>
      </w:r>
      <w:r w:rsidR="008876C5">
        <w:rPr>
          <w:rFonts w:ascii="Garamond" w:hAnsi="Garamond"/>
          <w:color w:val="FF0000"/>
          <w:sz w:val="24"/>
          <w:szCs w:val="24"/>
        </w:rPr>
        <w:t>;</w:t>
      </w:r>
      <w:r w:rsidR="009009A6" w:rsidRPr="005C5C4A">
        <w:rPr>
          <w:rFonts w:ascii="Garamond" w:hAnsi="Garamond"/>
          <w:color w:val="FF0000"/>
          <w:sz w:val="24"/>
          <w:szCs w:val="24"/>
        </w:rPr>
        <w:t xml:space="preserve"> </w:t>
      </w:r>
      <w:r w:rsidR="008876C5">
        <w:rPr>
          <w:rFonts w:ascii="Garamond" w:hAnsi="Garamond"/>
          <w:color w:val="FF0000"/>
          <w:sz w:val="24"/>
          <w:szCs w:val="24"/>
        </w:rPr>
        <w:t>s</w:t>
      </w:r>
      <w:r w:rsidR="009009A6" w:rsidRPr="005C5C4A">
        <w:rPr>
          <w:rFonts w:ascii="Garamond" w:hAnsi="Garamond"/>
          <w:color w:val="FF0000"/>
          <w:sz w:val="24"/>
          <w:szCs w:val="24"/>
        </w:rPr>
        <w:t xml:space="preserve">ee </w:t>
      </w:r>
      <w:r w:rsidR="008876C5">
        <w:rPr>
          <w:rFonts w:ascii="Garamond" w:hAnsi="Garamond"/>
          <w:color w:val="FF0000"/>
          <w:sz w:val="24"/>
          <w:szCs w:val="24"/>
        </w:rPr>
        <w:t xml:space="preserve">also </w:t>
      </w:r>
      <w:r w:rsidR="009009A6" w:rsidRPr="00577C84">
        <w:rPr>
          <w:rFonts w:ascii="Garamond" w:hAnsi="Garamond"/>
          <w:color w:val="FF0000"/>
          <w:sz w:val="24"/>
          <w:szCs w:val="24"/>
          <w:u w:val="single"/>
        </w:rPr>
        <w:t>Bains v. State Employees’ Retirement System</w:t>
      </w:r>
      <w:r w:rsidR="009009A6" w:rsidRPr="005C5C4A">
        <w:rPr>
          <w:rFonts w:ascii="Garamond" w:hAnsi="Garamond"/>
          <w:color w:val="FF0000"/>
          <w:sz w:val="24"/>
          <w:szCs w:val="24"/>
        </w:rPr>
        <w:t>, Pennsylvania Office of Open Records Docket No. AP 2015-2667.  These records are denied for the additional reason that they contain confidential proprietary information and trade secrets.  65 P.S. §67.708(b</w:t>
      </w:r>
      <w:proofErr w:type="gramStart"/>
      <w:r w:rsidR="009009A6" w:rsidRPr="005C5C4A">
        <w:rPr>
          <w:rFonts w:ascii="Garamond" w:hAnsi="Garamond"/>
          <w:color w:val="FF0000"/>
          <w:sz w:val="24"/>
          <w:szCs w:val="24"/>
        </w:rPr>
        <w:t>)(</w:t>
      </w:r>
      <w:proofErr w:type="gramEnd"/>
      <w:r w:rsidR="009009A6" w:rsidRPr="005C5C4A">
        <w:rPr>
          <w:rFonts w:ascii="Garamond" w:hAnsi="Garamond"/>
          <w:color w:val="FF0000"/>
          <w:sz w:val="24"/>
          <w:szCs w:val="24"/>
        </w:rPr>
        <w:t>11).  The value of that confidential information is that it is not generally known or readily ascertainable by proper means; and its disclosure would cause substantial competitive harm to the parties from whom SERS obtained it.  Therefore, all reasonable efforts are taken to maintain its secrecy.  Id.</w:t>
      </w:r>
    </w:p>
    <w:p w14:paraId="615DB53D" w14:textId="77777777" w:rsidR="00BD7256" w:rsidRDefault="00BD7256" w:rsidP="00BD7256">
      <w:pPr>
        <w:contextualSpacing/>
        <w:rPr>
          <w:rFonts w:ascii="Garamond" w:hAnsi="Garamond"/>
          <w:sz w:val="24"/>
          <w:szCs w:val="24"/>
        </w:rPr>
      </w:pPr>
    </w:p>
    <w:p w14:paraId="62FED4E0" w14:textId="61A06A42" w:rsidR="00BD7256" w:rsidRPr="00571D9C" w:rsidRDefault="0053356A" w:rsidP="00BD7256">
      <w:pPr>
        <w:contextualSpacing/>
        <w:rPr>
          <w:rFonts w:ascii="Garamond" w:hAnsi="Garamond"/>
          <w:color w:val="FF0000"/>
          <w:sz w:val="24"/>
          <w:szCs w:val="24"/>
        </w:rPr>
      </w:pPr>
      <w:r w:rsidRPr="00CF33FE">
        <w:rPr>
          <w:rFonts w:ascii="Garamond" w:hAnsi="Garamond"/>
          <w:color w:val="FF0000"/>
          <w:sz w:val="24"/>
          <w:szCs w:val="24"/>
          <w:vertAlign w:val="superscript"/>
        </w:rPr>
        <w:t xml:space="preserve">4 </w:t>
      </w:r>
      <w:r w:rsidRPr="00CF33FE">
        <w:rPr>
          <w:rFonts w:ascii="Garamond" w:hAnsi="Garamond"/>
          <w:color w:val="FF0000"/>
          <w:sz w:val="24"/>
          <w:szCs w:val="24"/>
        </w:rPr>
        <w:t xml:space="preserve">GCM’s report cannot be disclosed, as it </w:t>
      </w:r>
      <w:r w:rsidRPr="00571D9C">
        <w:rPr>
          <w:rFonts w:ascii="Garamond" w:hAnsi="Garamond"/>
          <w:color w:val="FF0000"/>
          <w:sz w:val="24"/>
          <w:szCs w:val="24"/>
        </w:rPr>
        <w:t>contains confidential proprietary information and trade secrets.  See RTKL (</w:t>
      </w:r>
      <w:r w:rsidRPr="00A95D65">
        <w:rPr>
          <w:rFonts w:ascii="Garamond" w:hAnsi="Garamond"/>
          <w:color w:val="FF0000"/>
          <w:sz w:val="24"/>
          <w:szCs w:val="24"/>
        </w:rPr>
        <w:t>65 P.S. §67.708(b</w:t>
      </w:r>
      <w:proofErr w:type="gramStart"/>
      <w:r w:rsidRPr="00A95D65">
        <w:rPr>
          <w:rFonts w:ascii="Garamond" w:hAnsi="Garamond"/>
          <w:color w:val="FF0000"/>
          <w:sz w:val="24"/>
          <w:szCs w:val="24"/>
        </w:rPr>
        <w:t>)(</w:t>
      </w:r>
      <w:proofErr w:type="gramEnd"/>
      <w:r w:rsidRPr="00A95D65">
        <w:rPr>
          <w:rFonts w:ascii="Garamond" w:hAnsi="Garamond"/>
          <w:color w:val="FF0000"/>
          <w:sz w:val="24"/>
          <w:szCs w:val="24"/>
        </w:rPr>
        <w:t>11)).</w:t>
      </w:r>
    </w:p>
    <w:p w14:paraId="6C2C4BF2" w14:textId="6DCC9669" w:rsidR="008F4CF2" w:rsidRDefault="008F4CF2" w:rsidP="00BD7256">
      <w:pPr>
        <w:contextualSpacing/>
        <w:rPr>
          <w:rFonts w:ascii="Garamond" w:hAnsi="Garamond"/>
          <w:sz w:val="24"/>
          <w:szCs w:val="24"/>
        </w:rPr>
      </w:pPr>
    </w:p>
    <w:p w14:paraId="4014B744" w14:textId="103FB60A" w:rsidR="00F57301" w:rsidRPr="00110365" w:rsidRDefault="00041C9A" w:rsidP="00110365">
      <w:pPr>
        <w:pStyle w:val="ListParagraph"/>
        <w:numPr>
          <w:ilvl w:val="0"/>
          <w:numId w:val="9"/>
        </w:numPr>
        <w:rPr>
          <w:rFonts w:ascii="Garamond" w:hAnsi="Garamond"/>
          <w:color w:val="FF0000"/>
          <w:sz w:val="24"/>
          <w:szCs w:val="24"/>
        </w:rPr>
      </w:pPr>
      <w:r w:rsidRPr="00110365">
        <w:rPr>
          <w:rFonts w:ascii="Garamond" w:hAnsi="Garamond"/>
          <w:sz w:val="24"/>
          <w:szCs w:val="24"/>
        </w:rPr>
        <w:t>For each investment manager, please provide the quartile comparison of performance for a manager that was presented to the Board at the time of hiring, and the current equivalent quartile comparison.</w:t>
      </w:r>
      <w:r w:rsidR="00D77989" w:rsidRPr="00110365">
        <w:rPr>
          <w:rFonts w:ascii="Garamond" w:hAnsi="Garamond"/>
          <w:sz w:val="24"/>
          <w:szCs w:val="24"/>
        </w:rPr>
        <w:t xml:space="preserve"> </w:t>
      </w:r>
      <w:r w:rsidR="0075309C">
        <w:rPr>
          <w:rFonts w:ascii="Garamond" w:hAnsi="Garamond"/>
          <w:sz w:val="24"/>
          <w:szCs w:val="24"/>
        </w:rPr>
        <w:t xml:space="preserve"> </w:t>
      </w:r>
      <w:r w:rsidR="00110365" w:rsidRPr="00110365">
        <w:rPr>
          <w:rFonts w:ascii="Garamond" w:hAnsi="Garamond"/>
          <w:color w:val="FF0000"/>
          <w:sz w:val="24"/>
          <w:szCs w:val="24"/>
        </w:rPr>
        <w:t>An investment recommendation memo is provided to the SERS Board by the Investment Office and the applicable consultant whenever the Board is requested to consider making an investment in a private market manager fund.  Included in the investment recommendation memo is the performance quartile ranking of the private market managers’ previous funds.  However, due to the confidential/trade secret nature of the written materials presented to the Board, SERS is contractually prohibited from disclosing them (or the proprietary methodology utilized by SERS’ consultants to produce such performance rankings) to the public.  Further, confidential and proprietary information is otherwise exempt from disclosure under the Right-to-Know Law (</w:t>
      </w:r>
      <w:r w:rsidR="00110365" w:rsidRPr="0075309C">
        <w:rPr>
          <w:rFonts w:ascii="Garamond" w:hAnsi="Garamond"/>
          <w:color w:val="FF0000"/>
          <w:sz w:val="24"/>
          <w:szCs w:val="24"/>
        </w:rPr>
        <w:t>see</w:t>
      </w:r>
      <w:r w:rsidR="00110365" w:rsidRPr="00110365">
        <w:rPr>
          <w:rFonts w:ascii="Garamond" w:hAnsi="Garamond"/>
          <w:color w:val="FF0000"/>
          <w:sz w:val="24"/>
          <w:szCs w:val="24"/>
        </w:rPr>
        <w:t xml:space="preserve"> 65 P.S. §67.708(b</w:t>
      </w:r>
      <w:proofErr w:type="gramStart"/>
      <w:r w:rsidR="00110365" w:rsidRPr="00110365">
        <w:rPr>
          <w:rFonts w:ascii="Garamond" w:hAnsi="Garamond"/>
          <w:color w:val="FF0000"/>
          <w:sz w:val="24"/>
          <w:szCs w:val="24"/>
        </w:rPr>
        <w:t>)(</w:t>
      </w:r>
      <w:proofErr w:type="gramEnd"/>
      <w:r w:rsidR="00110365" w:rsidRPr="00110365">
        <w:rPr>
          <w:rFonts w:ascii="Garamond" w:hAnsi="Garamond"/>
          <w:color w:val="FF0000"/>
          <w:sz w:val="24"/>
          <w:szCs w:val="24"/>
        </w:rPr>
        <w:t xml:space="preserve">11)), as disclosure of such information would cause substantial competitive harm to the party who provided it to SERS, and would have a substantial detrimental impact on the value of the related investment and/or investment relationship.  </w:t>
      </w:r>
      <w:r w:rsidR="00110365" w:rsidRPr="0075309C">
        <w:rPr>
          <w:rFonts w:ascii="Garamond" w:hAnsi="Garamond"/>
          <w:color w:val="FF0000"/>
          <w:sz w:val="24"/>
          <w:szCs w:val="24"/>
        </w:rPr>
        <w:t>See</w:t>
      </w:r>
      <w:r w:rsidR="00110365" w:rsidRPr="00110365">
        <w:rPr>
          <w:rFonts w:ascii="Garamond" w:hAnsi="Garamond"/>
          <w:color w:val="FF0000"/>
          <w:sz w:val="24"/>
          <w:szCs w:val="24"/>
        </w:rPr>
        <w:t xml:space="preserve"> 71 Pa. C.S. § 5902(e)(2)(</w:t>
      </w:r>
      <w:proofErr w:type="spellStart"/>
      <w:r w:rsidR="00110365" w:rsidRPr="00110365">
        <w:rPr>
          <w:rFonts w:ascii="Garamond" w:hAnsi="Garamond"/>
          <w:color w:val="FF0000"/>
          <w:sz w:val="24"/>
          <w:szCs w:val="24"/>
        </w:rPr>
        <w:t>i</w:t>
      </w:r>
      <w:proofErr w:type="spellEnd"/>
      <w:r w:rsidR="00110365" w:rsidRPr="00110365">
        <w:rPr>
          <w:rFonts w:ascii="Garamond" w:hAnsi="Garamond"/>
          <w:color w:val="FF0000"/>
          <w:sz w:val="24"/>
          <w:szCs w:val="24"/>
        </w:rPr>
        <w:t xml:space="preserve">)–(iii).  Consequently, disclosure of the materials presented to the Board would be a breach of the fiduciary duty set forth in the Retirement Code.  </w:t>
      </w:r>
      <w:r w:rsidR="00110365" w:rsidRPr="0075309C">
        <w:rPr>
          <w:rFonts w:ascii="Garamond" w:hAnsi="Garamond"/>
          <w:color w:val="FF0000"/>
          <w:sz w:val="24"/>
          <w:szCs w:val="24"/>
        </w:rPr>
        <w:t>See</w:t>
      </w:r>
      <w:r w:rsidR="00110365" w:rsidRPr="00110365">
        <w:rPr>
          <w:rFonts w:ascii="Garamond" w:hAnsi="Garamond"/>
          <w:color w:val="FF0000"/>
          <w:sz w:val="24"/>
          <w:szCs w:val="24"/>
        </w:rPr>
        <w:t xml:space="preserve"> 71 Pa. C.S. § 5902(e)(2)(iii).</w:t>
      </w:r>
    </w:p>
    <w:sectPr w:rsidR="00F57301" w:rsidRPr="00110365" w:rsidSect="00B66454">
      <w:pgSz w:w="12240" w:h="15840"/>
      <w:pgMar w:top="1440" w:right="1440" w:bottom="1080" w:left="1440" w:header="0" w:footer="5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E1C2" w14:textId="77777777" w:rsidR="004E6F06" w:rsidRDefault="004E6F06">
      <w:pPr>
        <w:spacing w:line="240" w:lineRule="auto"/>
      </w:pPr>
      <w:r>
        <w:separator/>
      </w:r>
    </w:p>
  </w:endnote>
  <w:endnote w:type="continuationSeparator" w:id="0">
    <w:p w14:paraId="0B8B0315" w14:textId="77777777" w:rsidR="004E6F06" w:rsidRDefault="004E6F06">
      <w:pPr>
        <w:spacing w:line="240" w:lineRule="auto"/>
      </w:pPr>
      <w:r>
        <w:continuationSeparator/>
      </w:r>
    </w:p>
  </w:endnote>
  <w:endnote w:type="continuationNotice" w:id="1">
    <w:p w14:paraId="187CA1A0" w14:textId="77777777" w:rsidR="004E6F06" w:rsidRDefault="004E6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987D" w14:textId="405D8E31" w:rsidR="004E6F06" w:rsidRDefault="004E6F06">
      <w:pPr>
        <w:spacing w:line="240" w:lineRule="auto"/>
      </w:pPr>
    </w:p>
  </w:footnote>
  <w:footnote w:type="continuationSeparator" w:id="0">
    <w:p w14:paraId="5105EC28" w14:textId="77777777" w:rsidR="004E6F06" w:rsidRDefault="004E6F06">
      <w:pPr>
        <w:spacing w:line="240" w:lineRule="auto"/>
      </w:pPr>
      <w:r>
        <w:continuationSeparator/>
      </w:r>
    </w:p>
  </w:footnote>
  <w:footnote w:type="continuationNotice" w:id="1">
    <w:p w14:paraId="76BDFA19" w14:textId="77777777" w:rsidR="004E6F06" w:rsidRDefault="004E6F06">
      <w:pPr>
        <w:spacing w:line="240" w:lineRule="auto"/>
      </w:pPr>
    </w:p>
  </w:footnote>
  <w:footnote w:id="2">
    <w:p w14:paraId="4EAC6CEF" w14:textId="41D079A0" w:rsidR="00A63E66" w:rsidRPr="00D63C93" w:rsidRDefault="00A63E66" w:rsidP="00A63E66">
      <w:pPr>
        <w:pStyle w:val="FootnoteText"/>
        <w:rPr>
          <w:rFonts w:ascii="Garamond" w:hAnsi="Garamond"/>
          <w:color w:val="FF000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7276"/>
    <w:multiLevelType w:val="multilevel"/>
    <w:tmpl w:val="F28C7A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E5674"/>
    <w:multiLevelType w:val="multilevel"/>
    <w:tmpl w:val="BFB061AC"/>
    <w:lvl w:ilvl="0">
      <w:start w:val="7"/>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486992"/>
    <w:multiLevelType w:val="hybridMultilevel"/>
    <w:tmpl w:val="9932B730"/>
    <w:lvl w:ilvl="0" w:tplc="D270BF0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343CAE"/>
    <w:multiLevelType w:val="multilevel"/>
    <w:tmpl w:val="4AF63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134586"/>
    <w:multiLevelType w:val="multilevel"/>
    <w:tmpl w:val="D71834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7F44B4"/>
    <w:multiLevelType w:val="hybridMultilevel"/>
    <w:tmpl w:val="0CAECAD0"/>
    <w:lvl w:ilvl="0" w:tplc="32BCD702">
      <w:start w:val="1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956EA"/>
    <w:multiLevelType w:val="multilevel"/>
    <w:tmpl w:val="1AFE056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C14D51"/>
    <w:multiLevelType w:val="hybridMultilevel"/>
    <w:tmpl w:val="06F4175E"/>
    <w:lvl w:ilvl="0" w:tplc="0409000F">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01"/>
    <w:rsid w:val="000039EA"/>
    <w:rsid w:val="00003EC5"/>
    <w:rsid w:val="000135ED"/>
    <w:rsid w:val="00023896"/>
    <w:rsid w:val="0004040F"/>
    <w:rsid w:val="00041C9A"/>
    <w:rsid w:val="00066973"/>
    <w:rsid w:val="000A4DB4"/>
    <w:rsid w:val="000B3BF2"/>
    <w:rsid w:val="000D0D51"/>
    <w:rsid w:val="000E7C41"/>
    <w:rsid w:val="00110365"/>
    <w:rsid w:val="001509F7"/>
    <w:rsid w:val="00180E82"/>
    <w:rsid w:val="001B7FB3"/>
    <w:rsid w:val="002016F8"/>
    <w:rsid w:val="00202FA4"/>
    <w:rsid w:val="00221B4B"/>
    <w:rsid w:val="00231D41"/>
    <w:rsid w:val="00275691"/>
    <w:rsid w:val="002E01D5"/>
    <w:rsid w:val="002E2FA9"/>
    <w:rsid w:val="00302788"/>
    <w:rsid w:val="0031451C"/>
    <w:rsid w:val="00326509"/>
    <w:rsid w:val="003431C1"/>
    <w:rsid w:val="00355CA5"/>
    <w:rsid w:val="003659E0"/>
    <w:rsid w:val="00373C77"/>
    <w:rsid w:val="00374EED"/>
    <w:rsid w:val="0039218E"/>
    <w:rsid w:val="003A1186"/>
    <w:rsid w:val="003A209E"/>
    <w:rsid w:val="003A495B"/>
    <w:rsid w:val="003B135F"/>
    <w:rsid w:val="003B49BE"/>
    <w:rsid w:val="003F53DF"/>
    <w:rsid w:val="004235C8"/>
    <w:rsid w:val="00477EF6"/>
    <w:rsid w:val="00491BA6"/>
    <w:rsid w:val="0049490B"/>
    <w:rsid w:val="004B65B8"/>
    <w:rsid w:val="004E448A"/>
    <w:rsid w:val="004E6746"/>
    <w:rsid w:val="004E6F06"/>
    <w:rsid w:val="004F218C"/>
    <w:rsid w:val="0053356A"/>
    <w:rsid w:val="00533FBC"/>
    <w:rsid w:val="00550648"/>
    <w:rsid w:val="00571D9C"/>
    <w:rsid w:val="005743CB"/>
    <w:rsid w:val="00577C84"/>
    <w:rsid w:val="00582EA6"/>
    <w:rsid w:val="00586C07"/>
    <w:rsid w:val="0058727C"/>
    <w:rsid w:val="005C4235"/>
    <w:rsid w:val="005C5C4A"/>
    <w:rsid w:val="005F74F1"/>
    <w:rsid w:val="0060212E"/>
    <w:rsid w:val="00602AC9"/>
    <w:rsid w:val="00634F51"/>
    <w:rsid w:val="00647CD3"/>
    <w:rsid w:val="00680591"/>
    <w:rsid w:val="006817C2"/>
    <w:rsid w:val="00690555"/>
    <w:rsid w:val="006943BA"/>
    <w:rsid w:val="006B55D4"/>
    <w:rsid w:val="00704FDA"/>
    <w:rsid w:val="00715B52"/>
    <w:rsid w:val="0073305C"/>
    <w:rsid w:val="0073442F"/>
    <w:rsid w:val="0075309C"/>
    <w:rsid w:val="007625E3"/>
    <w:rsid w:val="00792B35"/>
    <w:rsid w:val="007F0840"/>
    <w:rsid w:val="00800717"/>
    <w:rsid w:val="0081144A"/>
    <w:rsid w:val="008132A7"/>
    <w:rsid w:val="0081461C"/>
    <w:rsid w:val="008305DC"/>
    <w:rsid w:val="0083364A"/>
    <w:rsid w:val="0086023B"/>
    <w:rsid w:val="00862DCE"/>
    <w:rsid w:val="00880FF6"/>
    <w:rsid w:val="008876C5"/>
    <w:rsid w:val="008E3C09"/>
    <w:rsid w:val="008F4CF2"/>
    <w:rsid w:val="009009A6"/>
    <w:rsid w:val="00943F38"/>
    <w:rsid w:val="00964BAB"/>
    <w:rsid w:val="00965E27"/>
    <w:rsid w:val="009B0E6A"/>
    <w:rsid w:val="009D1C64"/>
    <w:rsid w:val="00A46914"/>
    <w:rsid w:val="00A63E66"/>
    <w:rsid w:val="00A857E5"/>
    <w:rsid w:val="00A95D65"/>
    <w:rsid w:val="00AC6D0C"/>
    <w:rsid w:val="00B20B47"/>
    <w:rsid w:val="00B23AAB"/>
    <w:rsid w:val="00B36437"/>
    <w:rsid w:val="00B565B0"/>
    <w:rsid w:val="00B66454"/>
    <w:rsid w:val="00B83976"/>
    <w:rsid w:val="00BC20D6"/>
    <w:rsid w:val="00BD67B9"/>
    <w:rsid w:val="00BD7256"/>
    <w:rsid w:val="00C14F88"/>
    <w:rsid w:val="00C34C59"/>
    <w:rsid w:val="00C63292"/>
    <w:rsid w:val="00C67499"/>
    <w:rsid w:val="00C82954"/>
    <w:rsid w:val="00CA4887"/>
    <w:rsid w:val="00CD2F4E"/>
    <w:rsid w:val="00CF33FE"/>
    <w:rsid w:val="00CF4D45"/>
    <w:rsid w:val="00D34CE7"/>
    <w:rsid w:val="00D41888"/>
    <w:rsid w:val="00D42798"/>
    <w:rsid w:val="00D75761"/>
    <w:rsid w:val="00D76CE6"/>
    <w:rsid w:val="00D77989"/>
    <w:rsid w:val="00D97E25"/>
    <w:rsid w:val="00DB3695"/>
    <w:rsid w:val="00E22A30"/>
    <w:rsid w:val="00E34A32"/>
    <w:rsid w:val="00E85DB1"/>
    <w:rsid w:val="00E94A16"/>
    <w:rsid w:val="00EA5DDA"/>
    <w:rsid w:val="00EB5C07"/>
    <w:rsid w:val="00EF19FF"/>
    <w:rsid w:val="00EF3D1D"/>
    <w:rsid w:val="00F24A2A"/>
    <w:rsid w:val="00F57301"/>
    <w:rsid w:val="00F85D5E"/>
    <w:rsid w:val="00F90F2B"/>
    <w:rsid w:val="00FE1710"/>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4958E"/>
  <w15:docId w15:val="{E7D1FAB6-D5C7-4A05-928A-F010CA5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1B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A6"/>
    <w:rPr>
      <w:rFonts w:ascii="Segoe UI" w:hAnsi="Segoe UI" w:cs="Segoe UI"/>
      <w:sz w:val="18"/>
      <w:szCs w:val="18"/>
    </w:rPr>
  </w:style>
  <w:style w:type="paragraph" w:styleId="Header">
    <w:name w:val="header"/>
    <w:basedOn w:val="Normal"/>
    <w:link w:val="HeaderChar"/>
    <w:uiPriority w:val="99"/>
    <w:unhideWhenUsed/>
    <w:rsid w:val="00B66454"/>
    <w:pPr>
      <w:tabs>
        <w:tab w:val="center" w:pos="4680"/>
        <w:tab w:val="right" w:pos="9360"/>
      </w:tabs>
      <w:spacing w:line="240" w:lineRule="auto"/>
    </w:pPr>
  </w:style>
  <w:style w:type="character" w:customStyle="1" w:styleId="HeaderChar">
    <w:name w:val="Header Char"/>
    <w:basedOn w:val="DefaultParagraphFont"/>
    <w:link w:val="Header"/>
    <w:uiPriority w:val="99"/>
    <w:rsid w:val="00B66454"/>
  </w:style>
  <w:style w:type="paragraph" w:styleId="Footer">
    <w:name w:val="footer"/>
    <w:basedOn w:val="Normal"/>
    <w:link w:val="FooterChar"/>
    <w:uiPriority w:val="99"/>
    <w:unhideWhenUsed/>
    <w:rsid w:val="00B66454"/>
    <w:pPr>
      <w:tabs>
        <w:tab w:val="center" w:pos="4680"/>
        <w:tab w:val="right" w:pos="9360"/>
      </w:tabs>
      <w:spacing w:line="240" w:lineRule="auto"/>
    </w:pPr>
  </w:style>
  <w:style w:type="character" w:customStyle="1" w:styleId="FooterChar">
    <w:name w:val="Footer Char"/>
    <w:basedOn w:val="DefaultParagraphFont"/>
    <w:link w:val="Footer"/>
    <w:uiPriority w:val="99"/>
    <w:rsid w:val="00B66454"/>
  </w:style>
  <w:style w:type="paragraph" w:styleId="ListParagraph">
    <w:name w:val="List Paragraph"/>
    <w:basedOn w:val="Normal"/>
    <w:uiPriority w:val="34"/>
    <w:qFormat/>
    <w:rsid w:val="00F24A2A"/>
    <w:pPr>
      <w:ind w:left="720"/>
      <w:contextualSpacing/>
    </w:pPr>
  </w:style>
  <w:style w:type="table" w:styleId="TableGrid">
    <w:name w:val="Table Grid"/>
    <w:basedOn w:val="TableNormal"/>
    <w:uiPriority w:val="39"/>
    <w:rsid w:val="00D34C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364A"/>
    <w:pPr>
      <w:spacing w:line="240" w:lineRule="auto"/>
    </w:pPr>
  </w:style>
  <w:style w:type="character" w:styleId="Hyperlink">
    <w:name w:val="Hyperlink"/>
    <w:basedOn w:val="DefaultParagraphFont"/>
    <w:uiPriority w:val="99"/>
    <w:unhideWhenUsed/>
    <w:rsid w:val="00B36437"/>
    <w:rPr>
      <w:color w:val="0000FF" w:themeColor="hyperlink"/>
      <w:u w:val="single"/>
    </w:rPr>
  </w:style>
  <w:style w:type="character" w:customStyle="1" w:styleId="UnresolvedMention1">
    <w:name w:val="Unresolved Mention1"/>
    <w:basedOn w:val="DefaultParagraphFont"/>
    <w:uiPriority w:val="99"/>
    <w:semiHidden/>
    <w:unhideWhenUsed/>
    <w:rsid w:val="00B36437"/>
    <w:rPr>
      <w:color w:val="808080"/>
      <w:shd w:val="clear" w:color="auto" w:fill="E6E6E6"/>
    </w:rPr>
  </w:style>
  <w:style w:type="paragraph" w:styleId="FootnoteText">
    <w:name w:val="footnote text"/>
    <w:basedOn w:val="Normal"/>
    <w:link w:val="FootnoteTextChar"/>
    <w:uiPriority w:val="99"/>
    <w:semiHidden/>
    <w:unhideWhenUsed/>
    <w:rsid w:val="00A63E66"/>
    <w:pPr>
      <w:spacing w:line="240" w:lineRule="auto"/>
    </w:pPr>
    <w:rPr>
      <w:sz w:val="20"/>
      <w:szCs w:val="20"/>
    </w:rPr>
  </w:style>
  <w:style w:type="character" w:customStyle="1" w:styleId="FootnoteTextChar">
    <w:name w:val="Footnote Text Char"/>
    <w:basedOn w:val="DefaultParagraphFont"/>
    <w:link w:val="FootnoteText"/>
    <w:uiPriority w:val="99"/>
    <w:semiHidden/>
    <w:rsid w:val="00A63E66"/>
    <w:rPr>
      <w:sz w:val="20"/>
      <w:szCs w:val="20"/>
    </w:rPr>
  </w:style>
  <w:style w:type="character" w:styleId="FootnoteReference">
    <w:name w:val="footnote reference"/>
    <w:basedOn w:val="DefaultParagraphFont"/>
    <w:uiPriority w:val="99"/>
    <w:semiHidden/>
    <w:unhideWhenUsed/>
    <w:rsid w:val="00A63E66"/>
    <w:rPr>
      <w:vertAlign w:val="superscript"/>
    </w:rPr>
  </w:style>
  <w:style w:type="paragraph" w:styleId="EndnoteText">
    <w:name w:val="endnote text"/>
    <w:basedOn w:val="Normal"/>
    <w:link w:val="EndnoteTextChar"/>
    <w:uiPriority w:val="99"/>
    <w:semiHidden/>
    <w:unhideWhenUsed/>
    <w:rsid w:val="00A63E66"/>
    <w:pPr>
      <w:spacing w:line="240" w:lineRule="auto"/>
    </w:pPr>
    <w:rPr>
      <w:sz w:val="20"/>
      <w:szCs w:val="20"/>
    </w:rPr>
  </w:style>
  <w:style w:type="character" w:customStyle="1" w:styleId="EndnoteTextChar">
    <w:name w:val="Endnote Text Char"/>
    <w:basedOn w:val="DefaultParagraphFont"/>
    <w:link w:val="EndnoteText"/>
    <w:uiPriority w:val="99"/>
    <w:semiHidden/>
    <w:rsid w:val="00A63E66"/>
    <w:rPr>
      <w:sz w:val="20"/>
      <w:szCs w:val="20"/>
    </w:rPr>
  </w:style>
  <w:style w:type="character" w:styleId="EndnoteReference">
    <w:name w:val="endnote reference"/>
    <w:basedOn w:val="DefaultParagraphFont"/>
    <w:uiPriority w:val="99"/>
    <w:semiHidden/>
    <w:unhideWhenUsed/>
    <w:rsid w:val="00A63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6461">
      <w:bodyDiv w:val="1"/>
      <w:marLeft w:val="0"/>
      <w:marRight w:val="0"/>
      <w:marTop w:val="0"/>
      <w:marBottom w:val="0"/>
      <w:divBdr>
        <w:top w:val="none" w:sz="0" w:space="0" w:color="auto"/>
        <w:left w:val="none" w:sz="0" w:space="0" w:color="auto"/>
        <w:bottom w:val="none" w:sz="0" w:space="0" w:color="auto"/>
        <w:right w:val="none" w:sz="0" w:space="0" w:color="auto"/>
      </w:divBdr>
    </w:div>
    <w:div w:id="262034579">
      <w:bodyDiv w:val="1"/>
      <w:marLeft w:val="0"/>
      <w:marRight w:val="0"/>
      <w:marTop w:val="0"/>
      <w:marBottom w:val="0"/>
      <w:divBdr>
        <w:top w:val="none" w:sz="0" w:space="0" w:color="auto"/>
        <w:left w:val="none" w:sz="0" w:space="0" w:color="auto"/>
        <w:bottom w:val="none" w:sz="0" w:space="0" w:color="auto"/>
        <w:right w:val="none" w:sz="0" w:space="0" w:color="auto"/>
      </w:divBdr>
    </w:div>
    <w:div w:id="270937118">
      <w:bodyDiv w:val="1"/>
      <w:marLeft w:val="0"/>
      <w:marRight w:val="0"/>
      <w:marTop w:val="0"/>
      <w:marBottom w:val="0"/>
      <w:divBdr>
        <w:top w:val="none" w:sz="0" w:space="0" w:color="auto"/>
        <w:left w:val="none" w:sz="0" w:space="0" w:color="auto"/>
        <w:bottom w:val="none" w:sz="0" w:space="0" w:color="auto"/>
        <w:right w:val="none" w:sz="0" w:space="0" w:color="auto"/>
      </w:divBdr>
    </w:div>
    <w:div w:id="609776981">
      <w:bodyDiv w:val="1"/>
      <w:marLeft w:val="0"/>
      <w:marRight w:val="0"/>
      <w:marTop w:val="0"/>
      <w:marBottom w:val="0"/>
      <w:divBdr>
        <w:top w:val="none" w:sz="0" w:space="0" w:color="auto"/>
        <w:left w:val="none" w:sz="0" w:space="0" w:color="auto"/>
        <w:bottom w:val="none" w:sz="0" w:space="0" w:color="auto"/>
        <w:right w:val="none" w:sz="0" w:space="0" w:color="auto"/>
      </w:divBdr>
    </w:div>
    <w:div w:id="1109082515">
      <w:bodyDiv w:val="1"/>
      <w:marLeft w:val="0"/>
      <w:marRight w:val="0"/>
      <w:marTop w:val="0"/>
      <w:marBottom w:val="0"/>
      <w:divBdr>
        <w:top w:val="none" w:sz="0" w:space="0" w:color="auto"/>
        <w:left w:val="none" w:sz="0" w:space="0" w:color="auto"/>
        <w:bottom w:val="none" w:sz="0" w:space="0" w:color="auto"/>
        <w:right w:val="none" w:sz="0" w:space="0" w:color="auto"/>
      </w:divBdr>
    </w:div>
    <w:div w:id="1543398423">
      <w:bodyDiv w:val="1"/>
      <w:marLeft w:val="0"/>
      <w:marRight w:val="0"/>
      <w:marTop w:val="0"/>
      <w:marBottom w:val="0"/>
      <w:divBdr>
        <w:top w:val="none" w:sz="0" w:space="0" w:color="auto"/>
        <w:left w:val="none" w:sz="0" w:space="0" w:color="auto"/>
        <w:bottom w:val="none" w:sz="0" w:space="0" w:color="auto"/>
        <w:right w:val="none" w:sz="0" w:space="0" w:color="auto"/>
      </w:divBdr>
    </w:div>
    <w:div w:id="1614241311">
      <w:bodyDiv w:val="1"/>
      <w:marLeft w:val="0"/>
      <w:marRight w:val="0"/>
      <w:marTop w:val="0"/>
      <w:marBottom w:val="0"/>
      <w:divBdr>
        <w:top w:val="none" w:sz="0" w:space="0" w:color="auto"/>
        <w:left w:val="none" w:sz="0" w:space="0" w:color="auto"/>
        <w:bottom w:val="none" w:sz="0" w:space="0" w:color="auto"/>
        <w:right w:val="none" w:sz="0" w:space="0" w:color="auto"/>
      </w:divBdr>
    </w:div>
    <w:div w:id="1846481518">
      <w:bodyDiv w:val="1"/>
      <w:marLeft w:val="0"/>
      <w:marRight w:val="0"/>
      <w:marTop w:val="0"/>
      <w:marBottom w:val="0"/>
      <w:divBdr>
        <w:top w:val="none" w:sz="0" w:space="0" w:color="auto"/>
        <w:left w:val="none" w:sz="0" w:space="0" w:color="auto"/>
        <w:bottom w:val="none" w:sz="0" w:space="0" w:color="auto"/>
        <w:right w:val="none" w:sz="0" w:space="0" w:color="auto"/>
      </w:divBdr>
    </w:div>
    <w:div w:id="187422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F3C5-2F3C-4F24-B435-34705800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 State Treasury</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Ebright, Lloyd</dc:creator>
  <cp:lastModifiedBy>Meyer, Jeffrey</cp:lastModifiedBy>
  <cp:revision>2</cp:revision>
  <cp:lastPrinted>2018-07-12T17:33:00Z</cp:lastPrinted>
  <dcterms:created xsi:type="dcterms:W3CDTF">2018-07-12T21:24:00Z</dcterms:created>
  <dcterms:modified xsi:type="dcterms:W3CDTF">2018-07-12T21:24:00Z</dcterms:modified>
</cp:coreProperties>
</file>